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 w:firstLine="0" w:left="5812"/>
      </w:pPr>
      <w:r>
        <w:rPr>
          <w:sz w:val="28"/>
        </w:rPr>
        <w:t>Приложение</w:t>
      </w:r>
    </w:p>
    <w:p w14:paraId="02000000">
      <w:pPr>
        <w:ind w:firstLine="0" w:left="5812"/>
        <w:jc w:val="both"/>
      </w:pPr>
      <w:r>
        <w:rPr>
          <w:sz w:val="28"/>
        </w:rPr>
        <w:t>к Докладу о достигнутых значениях показателей эффективности деятельности органов местного самоуправления Песчанокопского района за 2020 год и их планируемых значениях на 3-х летний период</w:t>
      </w:r>
    </w:p>
    <w:p w14:paraId="03000000">
      <w:pPr>
        <w:ind w:firstLine="0" w:left="5615"/>
        <w:jc w:val="both"/>
      </w:pPr>
    </w:p>
    <w:p w14:paraId="04000000">
      <w:pPr>
        <w:ind w:firstLine="0" w:left="5615"/>
        <w:jc w:val="both"/>
      </w:pPr>
    </w:p>
    <w:p w14:paraId="05000000">
      <w:pPr>
        <w:spacing w:line="276" w:lineRule="auto"/>
        <w:ind w:firstLine="709"/>
        <w:jc w:val="center"/>
      </w:pPr>
      <w:r>
        <w:rPr>
          <w:b w:val="1"/>
          <w:sz w:val="28"/>
        </w:rPr>
        <w:t>Пояснительная записка</w:t>
      </w:r>
    </w:p>
    <w:p w14:paraId="06000000">
      <w:pPr>
        <w:ind w:firstLine="709"/>
        <w:jc w:val="center"/>
        <w:rPr>
          <w:b w:val="1"/>
          <w:sz w:val="28"/>
        </w:rPr>
      </w:pPr>
    </w:p>
    <w:p w14:paraId="07000000">
      <w:pPr>
        <w:pStyle w:val="Style_1"/>
        <w:widowControl w:val="1"/>
        <w:spacing w:line="240" w:lineRule="auto"/>
        <w:ind w:firstLine="709"/>
        <w:jc w:val="center"/>
      </w:pPr>
      <w:r>
        <w:rPr>
          <w:b w:val="1"/>
          <w:sz w:val="28"/>
        </w:rPr>
        <w:t>I</w:t>
      </w:r>
      <w:r>
        <w:rPr>
          <w:b w:val="1"/>
          <w:sz w:val="28"/>
        </w:rPr>
        <w:t>. Экономическое развитие</w:t>
      </w:r>
    </w:p>
    <w:p w14:paraId="08000000">
      <w:pPr>
        <w:pStyle w:val="Style_1"/>
        <w:widowControl w:val="1"/>
        <w:spacing w:line="240" w:lineRule="auto"/>
        <w:ind w:firstLine="709"/>
        <w:jc w:val="center"/>
      </w:pPr>
    </w:p>
    <w:p w14:paraId="09000000">
      <w:pPr>
        <w:ind w:firstLine="709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Показатель 1. Число субъектов малого и среднего предпринимательства в расчете на 10 тыс. человек населения. </w:t>
      </w:r>
    </w:p>
    <w:p w14:paraId="0A000000">
      <w:pPr>
        <w:ind w:firstLine="709"/>
        <w:jc w:val="both"/>
        <w:rPr>
          <w:color w:val="000000"/>
          <w:sz w:val="28"/>
        </w:rPr>
      </w:pPr>
    </w:p>
    <w:p w14:paraId="0B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Число субъектов малого и среднего предпринимательства в расчете на 10 тыс. человек населения составило в 2018 году 420,5 единиц, в 2019 году 408,9 единицы.</w:t>
      </w:r>
    </w:p>
    <w:p w14:paraId="0C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отчетном 2020 году значение показателя составило 400,7 единиц на 10 тыс. человек населения, что на 2  процента ниже в сравнении с 2019 годом. </w:t>
      </w:r>
    </w:p>
    <w:p w14:paraId="0D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Снижение показателя в 2020 году обусловлено следующими факторами:</w:t>
      </w:r>
    </w:p>
    <w:p w14:paraId="0E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 в виду</w:t>
      </w:r>
      <w:r>
        <w:rPr>
          <w:color w:val="000000"/>
          <w:sz w:val="28"/>
        </w:rPr>
        <w:t xml:space="preserve"> неблагоприятной эпидемиологической обстановки связанной с карантинными мероприятиями</w:t>
      </w:r>
      <w:r>
        <w:rPr>
          <w:color w:val="000000"/>
          <w:sz w:val="28"/>
        </w:rPr>
        <w:t>;</w:t>
      </w:r>
    </w:p>
    <w:p w14:paraId="0F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 неспособность индивидуальных предпринимателей и организаций выдержать условия, действующего законодательства (введение системы «Меркурий», ЕГАИС, ой-лайн кассы);</w:t>
      </w:r>
    </w:p>
    <w:p w14:paraId="10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>введение маркировки на отдельные виды продукции (обувь, духи, текстиль и т.д.)</w:t>
      </w:r>
      <w:r>
        <w:rPr>
          <w:color w:val="000000"/>
          <w:sz w:val="28"/>
        </w:rPr>
        <w:t>;</w:t>
      </w:r>
    </w:p>
    <w:p w14:paraId="11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 усиливающейся конкуренцией со стороны крупноформатных торговых сетей (Магнит, Пятерочка).</w:t>
      </w:r>
    </w:p>
    <w:p w14:paraId="12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прогнозном периоде 2020-2022 годов планируется р</w:t>
      </w:r>
      <w:r>
        <w:rPr>
          <w:color w:val="000000"/>
          <w:sz w:val="28"/>
        </w:rPr>
        <w:t>ост данного показателя  от 402,3 до 404,8</w:t>
      </w:r>
      <w:r>
        <w:rPr>
          <w:color w:val="000000"/>
          <w:sz w:val="28"/>
        </w:rPr>
        <w:t xml:space="preserve"> единиц, за счет роста числа малых и средних предприятий в соответствии с прогнозом социально-экономического развития Песчанокопского района раздела «Малое и среднее предпринимательство».</w:t>
      </w:r>
    </w:p>
    <w:p w14:paraId="13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целях достижения планируемых результатов деятельности по увеличению числа субъектов малого и среднего предпринимательства в районе реализуются мероприятия государственной программы Ростовской области «Экономическое развитие и инновационная экономика», муниципальной программы Песчанокопского района «Экономическое развитие и инновационная экономика», в части оказания финансовой, имущественной и консультационной поддержки субъектам малого и среднего предпринимательства и мероприятия, направленные на импортозамещение. На территории Песчанокопского района развита инфраструктура поддержки малого и среднего предпринимательства, работает некоммерческое партнерство «Песчанокопское агентство поддержки малого и среднего бизнеса».</w:t>
      </w:r>
    </w:p>
    <w:p w14:paraId="14000000">
      <w:pPr>
        <w:ind w:firstLine="709"/>
        <w:jc w:val="both"/>
        <w:rPr>
          <w:color w:val="000000"/>
          <w:sz w:val="28"/>
        </w:rPr>
      </w:pPr>
    </w:p>
    <w:p w14:paraId="15000000">
      <w:pPr>
        <w:ind w:firstLine="709"/>
        <w:jc w:val="both"/>
        <w:rPr>
          <w:color w:val="000000"/>
        </w:rPr>
      </w:pPr>
      <w:r>
        <w:rPr>
          <w:b w:val="1"/>
          <w:color w:val="000000"/>
          <w:sz w:val="28"/>
        </w:rPr>
        <w:t xml:space="preserve">Показатель 2. </w:t>
      </w:r>
      <w:r>
        <w:rPr>
          <w:b w:val="1"/>
          <w:color w:val="000000"/>
          <w:sz w:val="28"/>
          <w:highlight w:val="white"/>
        </w:rPr>
        <w:t>Доля</w:t>
      </w:r>
      <w:r>
        <w:rPr>
          <w:b w:val="1"/>
          <w:color w:val="000000"/>
          <w:sz w:val="28"/>
        </w:rPr>
        <w:t xml:space="preserve">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организаций.</w:t>
      </w:r>
    </w:p>
    <w:p w14:paraId="16000000">
      <w:pPr>
        <w:ind/>
        <w:jc w:val="both"/>
        <w:rPr>
          <w:b w:val="1"/>
          <w:color w:val="000000"/>
          <w:sz w:val="28"/>
        </w:rPr>
      </w:pPr>
    </w:p>
    <w:p w14:paraId="17000000">
      <w:pPr>
        <w:ind w:firstLine="709"/>
        <w:jc w:val="both"/>
        <w:rPr>
          <w:color w:val="000000"/>
        </w:rPr>
      </w:pPr>
      <w:r>
        <w:rPr>
          <w:color w:val="000000"/>
          <w:sz w:val="28"/>
        </w:rPr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</w:t>
      </w:r>
      <w:r>
        <w:rPr>
          <w:color w:val="000000"/>
          <w:sz w:val="28"/>
        </w:rPr>
        <w:t>й и организаций составила в 2018 году – 31,7%, в 2019 году – 31,7%, в 2020 году — 29,1</w:t>
      </w:r>
      <w:r>
        <w:rPr>
          <w:color w:val="000000"/>
          <w:sz w:val="28"/>
        </w:rPr>
        <w:t xml:space="preserve"> %.</w:t>
      </w:r>
    </w:p>
    <w:p w14:paraId="18000000">
      <w:pPr>
        <w:ind w:firstLine="709"/>
        <w:jc w:val="both"/>
        <w:rPr>
          <w:color w:val="000000"/>
        </w:rPr>
      </w:pPr>
      <w:r>
        <w:rPr>
          <w:color w:val="000000"/>
          <w:sz w:val="28"/>
        </w:rPr>
        <w:t>На период  до 2023</w:t>
      </w:r>
      <w:r>
        <w:rPr>
          <w:color w:val="000000"/>
          <w:sz w:val="28"/>
        </w:rPr>
        <w:t xml:space="preserve"> года прогнозируется увеличение значения показателя доли среднесписочной численности работников малых и средних предприятий в среднесписочной численности работников всех предприятий и организаций по Песчанокопскому району от 32,6 процентных пункта  до 34,5%. Увеличение показателя планируется достичь за счет реализации на территории Песчанокопского района инвестиционных проектов и за счет увеличения числа субъектов малого и среднего предпринимательства (в том числе ИП) и численности работающих на них.</w:t>
      </w:r>
    </w:p>
    <w:p w14:paraId="19000000">
      <w:pPr>
        <w:ind w:firstLine="690"/>
        <w:jc w:val="both"/>
        <w:rPr>
          <w:color w:val="000000"/>
        </w:rPr>
      </w:pPr>
      <w:r>
        <w:rPr>
          <w:b w:val="1"/>
          <w:color w:val="000000"/>
          <w:sz w:val="28"/>
        </w:rPr>
        <w:br/>
      </w:r>
      <w:r>
        <w:rPr>
          <w:b w:val="1"/>
          <w:color w:val="000000"/>
          <w:sz w:val="28"/>
        </w:rPr>
        <w:t xml:space="preserve">         Показатель 3. Объем инвестиций в основной капитал (за исключением бюджетных средств) в расчете на 1 жителя.</w:t>
      </w:r>
    </w:p>
    <w:p w14:paraId="1A000000">
      <w:pPr>
        <w:ind w:firstLine="690"/>
        <w:jc w:val="both"/>
        <w:rPr>
          <w:b w:val="1"/>
          <w:color w:val="000000"/>
          <w:sz w:val="28"/>
          <w:highlight w:val="white"/>
        </w:rPr>
      </w:pPr>
    </w:p>
    <w:p w14:paraId="1B000000">
      <w:pPr>
        <w:spacing w:line="240" w:lineRule="atLeast"/>
        <w:ind w:firstLine="709"/>
        <w:jc w:val="both"/>
        <w:rPr>
          <w:color w:val="000000"/>
        </w:rPr>
      </w:pPr>
      <w:r>
        <w:rPr>
          <w:color w:val="000000"/>
          <w:sz w:val="28"/>
        </w:rPr>
        <w:t>В 2018</w:t>
      </w:r>
      <w:r>
        <w:rPr>
          <w:color w:val="000000"/>
          <w:sz w:val="28"/>
        </w:rPr>
        <w:t xml:space="preserve"> году </w:t>
      </w:r>
      <w:r>
        <w:rPr>
          <w:color w:val="000000"/>
          <w:sz w:val="28"/>
        </w:rPr>
        <w:t xml:space="preserve">показатель равен 4115,74 рублей. В 2019 году </w:t>
      </w:r>
      <w:r>
        <w:rPr>
          <w:color w:val="000000"/>
          <w:sz w:val="28"/>
        </w:rPr>
        <w:t>произошел рост данного показателя, темп роста составил 100,8%, что составило 6504,41 рублей.</w:t>
      </w:r>
      <w:r>
        <w:rPr>
          <w:color w:val="000000"/>
          <w:sz w:val="28"/>
        </w:rPr>
        <w:t xml:space="preserve"> В 2020 году объем инвестиций в осно</w:t>
      </w:r>
      <w:r>
        <w:rPr>
          <w:color w:val="000000"/>
          <w:sz w:val="28"/>
        </w:rPr>
        <w:t>вной капитал в расчете на 1 жителя составил 5326,2 рублей.</w:t>
      </w:r>
    </w:p>
    <w:p w14:paraId="1C000000">
      <w:pPr>
        <w:spacing w:line="240" w:lineRule="atLeast"/>
        <w:ind/>
        <w:jc w:val="both"/>
        <w:rPr>
          <w:color w:val="000000"/>
        </w:rPr>
      </w:pPr>
      <w:r>
        <w:rPr>
          <w:color w:val="000000"/>
          <w:sz w:val="28"/>
        </w:rPr>
        <w:t xml:space="preserve">       На период до 2023</w:t>
      </w:r>
      <w:r>
        <w:rPr>
          <w:color w:val="000000"/>
          <w:sz w:val="28"/>
        </w:rPr>
        <w:t xml:space="preserve">  года на территории Песчанокопского района планируется р</w:t>
      </w:r>
      <w:r>
        <w:rPr>
          <w:color w:val="000000"/>
          <w:sz w:val="28"/>
        </w:rPr>
        <w:t>ост данного показателя до 21360,5</w:t>
      </w:r>
      <w:r>
        <w:rPr>
          <w:color w:val="000000"/>
          <w:sz w:val="28"/>
        </w:rPr>
        <w:t xml:space="preserve"> рублей за счет реализации новых инвестиционных проектов, а так же счет реализации мероприятий по совершенствования технологических процессов на предприятиях района. </w:t>
      </w:r>
    </w:p>
    <w:p w14:paraId="1D000000">
      <w:pPr>
        <w:ind w:firstLine="708"/>
        <w:jc w:val="both"/>
        <w:rPr>
          <w:b w:val="1"/>
          <w:i w:val="1"/>
          <w:sz w:val="28"/>
        </w:rPr>
      </w:pPr>
    </w:p>
    <w:p w14:paraId="1E000000">
      <w:pPr>
        <w:spacing w:line="100" w:lineRule="atLeast"/>
        <w:ind w:firstLine="709"/>
        <w:jc w:val="both"/>
      </w:pPr>
      <w:r>
        <w:rPr>
          <w:b w:val="1"/>
          <w:sz w:val="28"/>
        </w:rPr>
        <w:t>Показатель 4. 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района).</w:t>
      </w:r>
    </w:p>
    <w:p w14:paraId="1F000000">
      <w:pPr>
        <w:spacing w:line="100" w:lineRule="atLeast"/>
        <w:ind/>
        <w:jc w:val="both"/>
        <w:rPr>
          <w:b w:val="1"/>
          <w:sz w:val="28"/>
        </w:rPr>
      </w:pPr>
    </w:p>
    <w:p w14:paraId="20000000">
      <w:pPr>
        <w:spacing w:line="100" w:lineRule="atLeast"/>
        <w:ind w:firstLine="709"/>
        <w:jc w:val="both"/>
      </w:pPr>
      <w:r>
        <w:rPr>
          <w:sz w:val="28"/>
          <w:highlight w:val="white"/>
        </w:rPr>
        <w:t>Доля площади земельных участков, являющихся объектами налогообложения земельным налогом, в общей площади территории муниципального района составила в 2018 году – 96,47%, в 2019 году – 96,48%, в 2020 году – 96,48%.</w:t>
      </w:r>
    </w:p>
    <w:p w14:paraId="21000000">
      <w:pPr>
        <w:spacing w:line="100" w:lineRule="atLeast"/>
        <w:ind w:firstLine="709"/>
        <w:jc w:val="both"/>
      </w:pPr>
      <w:r>
        <w:rPr>
          <w:sz w:val="28"/>
          <w:highlight w:val="white"/>
        </w:rPr>
        <w:t>В течение 2020 года производился выкуп земельных участков из аренды в собственность и будет сохраняться на уровне 100, 130 га. Это не окажет существенного влияния на долю площади земельных участков.</w:t>
      </w:r>
    </w:p>
    <w:p w14:paraId="22000000">
      <w:pPr>
        <w:ind w:firstLine="709"/>
      </w:pPr>
      <w:r>
        <w:rPr>
          <w:sz w:val="28"/>
          <w:highlight w:val="white"/>
        </w:rPr>
        <w:t>Прогнозируемые значения показателя подлежат ежегодной корректировке.</w:t>
      </w:r>
    </w:p>
    <w:p w14:paraId="23000000">
      <w:pPr>
        <w:spacing w:line="100" w:lineRule="atLeast"/>
        <w:ind w:firstLine="675"/>
        <w:jc w:val="both"/>
        <w:rPr>
          <w:highlight w:val="white"/>
        </w:rPr>
      </w:pPr>
    </w:p>
    <w:p w14:paraId="24000000">
      <w:pPr>
        <w:spacing w:line="100" w:lineRule="atLeast"/>
        <w:ind w:firstLine="709"/>
        <w:jc w:val="both"/>
      </w:pPr>
      <w:r>
        <w:rPr>
          <w:b w:val="1"/>
          <w:sz w:val="28"/>
        </w:rPr>
        <w:t>Показатель 5. Доля прибыльных сельскохозяйственных организаций в общем их числе.</w:t>
      </w:r>
    </w:p>
    <w:p w14:paraId="25000000">
      <w:pPr>
        <w:spacing w:line="100" w:lineRule="atLeast"/>
        <w:ind/>
        <w:jc w:val="both"/>
      </w:pPr>
      <w:r>
        <w:rPr>
          <w:sz w:val="28"/>
        </w:rPr>
        <w:t xml:space="preserve">         </w:t>
      </w:r>
    </w:p>
    <w:p w14:paraId="26000000">
      <w:pPr>
        <w:tabs>
          <w:tab w:leader="none" w:pos="540" w:val="left"/>
        </w:tabs>
        <w:spacing w:line="100" w:lineRule="atLeast"/>
        <w:ind w:firstLine="690"/>
        <w:jc w:val="both"/>
      </w:pPr>
      <w:r>
        <w:rPr>
          <w:sz w:val="28"/>
        </w:rPr>
        <w:t>Доля прибыльных сельскохозяйственных организаций в общем их числе составила</w:t>
      </w:r>
      <w:r>
        <w:rPr>
          <w:sz w:val="28"/>
        </w:rPr>
        <w:t xml:space="preserve"> в 2018 году -90,91 %, в 2019 году – 90,91</w:t>
      </w:r>
      <w:r>
        <w:rPr>
          <w:sz w:val="28"/>
        </w:rPr>
        <w:t>%, в 2020</w:t>
      </w:r>
      <w:r>
        <w:rPr>
          <w:sz w:val="28"/>
        </w:rPr>
        <w:t xml:space="preserve"> году – 90,91%.</w:t>
      </w:r>
    </w:p>
    <w:p w14:paraId="27000000">
      <w:pPr>
        <w:tabs>
          <w:tab w:leader="none" w:pos="540" w:val="left"/>
        </w:tabs>
        <w:spacing w:line="100" w:lineRule="atLeast"/>
        <w:ind w:firstLine="690"/>
        <w:jc w:val="both"/>
      </w:pPr>
      <w:r>
        <w:rPr>
          <w:sz w:val="28"/>
        </w:rPr>
        <w:t>В 2020</w:t>
      </w:r>
      <w:r>
        <w:rPr>
          <w:sz w:val="28"/>
        </w:rPr>
        <w:t xml:space="preserve"> году, согласно годовых отчетов, по району получена прибыль от деятельности сельскохозяйственных </w:t>
      </w:r>
      <w:r>
        <w:rPr>
          <w:sz w:val="28"/>
        </w:rPr>
        <w:t>организаций в размере – 699195,0</w:t>
      </w:r>
      <w:r>
        <w:rPr>
          <w:sz w:val="28"/>
        </w:rPr>
        <w:t xml:space="preserve"> т</w:t>
      </w:r>
      <w:r>
        <w:rPr>
          <w:sz w:val="28"/>
        </w:rPr>
        <w:t xml:space="preserve">ыс. рублей, что составляет 298,0 </w:t>
      </w:r>
      <w:r>
        <w:rPr>
          <w:sz w:val="28"/>
        </w:rPr>
        <w:t xml:space="preserve">% к уровню прошлого </w:t>
      </w:r>
      <w:r>
        <w:rPr>
          <w:sz w:val="28"/>
        </w:rPr>
        <w:t>года (234626,0</w:t>
      </w:r>
      <w:r>
        <w:rPr>
          <w:sz w:val="28"/>
        </w:rPr>
        <w:t>тыс. рублей). В одном предприятии</w:t>
      </w:r>
      <w:r>
        <w:rPr>
          <w:sz w:val="28"/>
        </w:rPr>
        <w:t xml:space="preserve">-ООО « Заря»  </w:t>
      </w:r>
      <w:r>
        <w:rPr>
          <w:sz w:val="28"/>
        </w:rPr>
        <w:t xml:space="preserve"> из одиннадцати</w:t>
      </w:r>
      <w:r>
        <w:rPr>
          <w:sz w:val="28"/>
        </w:rPr>
        <w:t xml:space="preserve"> получен убыток в размере 53770</w:t>
      </w:r>
      <w:r>
        <w:rPr>
          <w:sz w:val="28"/>
        </w:rPr>
        <w:t>,0 тыс. рублей. Наибольшую прибыль получили А</w:t>
      </w:r>
      <w:r>
        <w:rPr>
          <w:sz w:val="28"/>
        </w:rPr>
        <w:t xml:space="preserve">О «Агрокомплекс Развильное», ООО имени Кирова, ООО  «Рассвет».  С прибылью сработали </w:t>
      </w:r>
      <w:r>
        <w:rPr>
          <w:sz w:val="28"/>
        </w:rPr>
        <w:t xml:space="preserve"> и три животноводческих предприятия  -ООО « Южное Молоко» , ООО « Агропарк- Развильное» , ООО  «Рассыпное».</w:t>
      </w:r>
    </w:p>
    <w:p w14:paraId="28000000">
      <w:pPr>
        <w:tabs>
          <w:tab w:leader="none" w:pos="540" w:val="left"/>
        </w:tabs>
        <w:spacing w:line="100" w:lineRule="atLeast"/>
        <w:ind/>
        <w:jc w:val="both"/>
      </w:pPr>
    </w:p>
    <w:p w14:paraId="29000000">
      <w:pPr>
        <w:tabs>
          <w:tab w:leader="none" w:pos="540" w:val="left"/>
        </w:tabs>
        <w:spacing w:line="100" w:lineRule="atLeast"/>
        <w:ind w:firstLine="690"/>
        <w:jc w:val="both"/>
      </w:pPr>
      <w:r>
        <w:rPr>
          <w:sz w:val="28"/>
        </w:rPr>
        <w:t xml:space="preserve"> </w:t>
      </w:r>
      <w:r>
        <w:rPr>
          <w:sz w:val="28"/>
        </w:rPr>
        <w:t>В планируемом периоде 2021-2023</w:t>
      </w:r>
      <w:r>
        <w:rPr>
          <w:sz w:val="28"/>
        </w:rPr>
        <w:t xml:space="preserve"> годов за счет тесного взаимодействия администрации района с сельскохозяйственными предприятиями Песчанокопского района, проводимых мероприятиях по недопущению убыточных показателей, планируется сохранить долю прибыльных организаций в размере 100%.</w:t>
      </w:r>
    </w:p>
    <w:p w14:paraId="2A000000">
      <w:pPr>
        <w:tabs>
          <w:tab w:leader="none" w:pos="540" w:val="left"/>
        </w:tabs>
        <w:spacing w:line="100" w:lineRule="atLeast"/>
        <w:ind w:firstLine="690"/>
        <w:jc w:val="both"/>
        <w:rPr>
          <w:sz w:val="28"/>
          <w:shd w:fill="99FF66" w:val="clear"/>
        </w:rPr>
      </w:pPr>
    </w:p>
    <w:p w14:paraId="2B000000">
      <w:pPr>
        <w:pStyle w:val="Style_2"/>
        <w:ind w:firstLine="709"/>
        <w:jc w:val="both"/>
      </w:pPr>
      <w:r>
        <w:rPr>
          <w:b w:val="1"/>
          <w:sz w:val="28"/>
        </w:rPr>
        <w:t>Показатель 6.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</w:t>
      </w:r>
    </w:p>
    <w:p w14:paraId="2C000000">
      <w:pPr>
        <w:pStyle w:val="Style_2"/>
        <w:ind/>
        <w:jc w:val="both"/>
        <w:rPr>
          <w:sz w:val="28"/>
        </w:rPr>
      </w:pPr>
    </w:p>
    <w:p w14:paraId="2D000000">
      <w:pPr>
        <w:widowControl w:val="0"/>
        <w:ind w:firstLine="709"/>
        <w:jc w:val="both"/>
      </w:pPr>
      <w:r>
        <w:rPr>
          <w:color w:val="000000"/>
          <w:sz w:val="28"/>
        </w:rPr>
        <w:t xml:space="preserve">Доля протяженности автомобильных дорог общего пользования местного значения, не отвечающих нормативным требованиям, в общей протяженности </w:t>
      </w:r>
      <w:r>
        <w:rPr>
          <w:color w:val="000000"/>
          <w:sz w:val="28"/>
        </w:rPr>
        <w:t xml:space="preserve">автомобильных дорог общего пользования местного значения составила </w:t>
      </w:r>
      <w:r>
        <w:rPr>
          <w:color w:val="000000"/>
          <w:sz w:val="28"/>
        </w:rPr>
        <w:t>в 2018 году –36,0 %, в 2019 году – 34%, в 2020</w:t>
      </w:r>
      <w:r>
        <w:rPr>
          <w:color w:val="000000"/>
          <w:sz w:val="28"/>
        </w:rPr>
        <w:t xml:space="preserve"> году – 3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%.</w:t>
      </w:r>
    </w:p>
    <w:p w14:paraId="2E000000">
      <w:pPr>
        <w:ind w:firstLine="709"/>
        <w:jc w:val="both"/>
      </w:pPr>
      <w:r>
        <w:rPr>
          <w:color w:val="000000"/>
          <w:sz w:val="28"/>
        </w:rPr>
        <w:t>В 2020</w:t>
      </w:r>
      <w:r>
        <w:rPr>
          <w:color w:val="000000"/>
          <w:sz w:val="28"/>
        </w:rPr>
        <w:t xml:space="preserve"> году был осуществлен ямочный ремонт на внутрипоселковых автомобильных дорогах протяжённостью 50 км, а также были приведен</w:t>
      </w:r>
      <w:r>
        <w:rPr>
          <w:color w:val="000000"/>
          <w:sz w:val="28"/>
        </w:rPr>
        <w:t>ы в нормативное состояние 5</w:t>
      </w:r>
      <w:r>
        <w:rPr>
          <w:color w:val="000000"/>
          <w:sz w:val="28"/>
        </w:rPr>
        <w:t xml:space="preserve"> км дорог с щебеночным и грунтовым покрытием. Это позволило снизить долю протяженности автомобильных дорог общего пользования местного значения, не отвечающ</w:t>
      </w:r>
      <w:r>
        <w:rPr>
          <w:color w:val="000000"/>
          <w:sz w:val="28"/>
        </w:rPr>
        <w:t>их нормативным требованиям до 32</w:t>
      </w:r>
      <w:r>
        <w:rPr>
          <w:color w:val="000000"/>
          <w:sz w:val="28"/>
        </w:rPr>
        <w:t>,0%.</w:t>
      </w:r>
    </w:p>
    <w:p w14:paraId="2F000000">
      <w:pPr>
        <w:ind w:firstLine="708"/>
        <w:jc w:val="both"/>
      </w:pPr>
      <w:r>
        <w:rPr>
          <w:color w:val="000000"/>
          <w:sz w:val="28"/>
        </w:rPr>
        <w:t>В плановом периоде 2021-2023</w:t>
      </w:r>
      <w:r>
        <w:rPr>
          <w:color w:val="000000"/>
          <w:sz w:val="28"/>
        </w:rPr>
        <w:t xml:space="preserve"> годах планируется снижение показателя до 25,0 % за счет проведения капитального ремонта и обслуживания дорог.</w:t>
      </w:r>
    </w:p>
    <w:p w14:paraId="30000000">
      <w:pPr>
        <w:pStyle w:val="Style_2"/>
        <w:ind w:firstLine="690"/>
        <w:jc w:val="both"/>
        <w:rPr>
          <w:color w:val="000000"/>
          <w:sz w:val="28"/>
        </w:rPr>
      </w:pPr>
    </w:p>
    <w:p w14:paraId="31000000">
      <w:pPr>
        <w:pStyle w:val="Style_2"/>
        <w:ind w:firstLine="709"/>
        <w:jc w:val="both"/>
      </w:pPr>
      <w:r>
        <w:rPr>
          <w:b w:val="1"/>
          <w:color w:val="000000"/>
          <w:sz w:val="28"/>
        </w:rPr>
        <w:t xml:space="preserve">Показатель 7. </w:t>
      </w:r>
      <w:r>
        <w:rPr>
          <w:b w:val="1"/>
          <w:color w:val="000000"/>
          <w:sz w:val="28"/>
        </w:rPr>
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района).</w:t>
      </w:r>
    </w:p>
    <w:p w14:paraId="32000000">
      <w:pPr>
        <w:pStyle w:val="Style_2"/>
        <w:ind/>
        <w:jc w:val="both"/>
        <w:rPr>
          <w:color w:val="000000"/>
        </w:rPr>
      </w:pPr>
    </w:p>
    <w:p w14:paraId="33000000">
      <w:pPr>
        <w:ind w:firstLine="709"/>
        <w:jc w:val="both"/>
      </w:pPr>
      <w:r>
        <w:rPr>
          <w:color w:val="000000"/>
          <w:sz w:val="28"/>
        </w:rPr>
        <w:t>Данный показатель в 2015-2020 годах имеет фактическое нулевое значение. На территории Песчанокопского района отсутствуют населенные пункты, не имеющие регулярного автобусного или железнодорожного сообщения.</w:t>
      </w:r>
    </w:p>
    <w:p w14:paraId="34000000">
      <w:pPr>
        <w:ind w:firstLine="709"/>
        <w:jc w:val="both"/>
      </w:pPr>
      <w:r>
        <w:rPr>
          <w:color w:val="000000"/>
          <w:sz w:val="28"/>
        </w:rPr>
        <w:t>В 2021</w:t>
      </w:r>
      <w:r>
        <w:rPr>
          <w:color w:val="000000"/>
          <w:sz w:val="28"/>
        </w:rPr>
        <w:t>-202</w:t>
      </w:r>
      <w:r>
        <w:rPr>
          <w:color w:val="000000"/>
          <w:sz w:val="28"/>
        </w:rPr>
        <w:t>3</w:t>
      </w:r>
      <w:r>
        <w:rPr>
          <w:color w:val="000000"/>
          <w:sz w:val="28"/>
        </w:rPr>
        <w:t xml:space="preserve"> годах изменение данного показателя не планируется.</w:t>
      </w:r>
    </w:p>
    <w:p w14:paraId="35000000">
      <w:pPr>
        <w:ind w:firstLine="709"/>
        <w:jc w:val="both"/>
        <w:rPr>
          <w:color w:val="000000"/>
          <w:sz w:val="28"/>
        </w:rPr>
      </w:pPr>
    </w:p>
    <w:p w14:paraId="36000000">
      <w:pPr>
        <w:tabs>
          <w:tab w:leader="none" w:pos="1440" w:val="left"/>
        </w:tabs>
        <w:spacing w:line="100" w:lineRule="atLeast"/>
        <w:ind w:firstLine="709"/>
        <w:jc w:val="both"/>
      </w:pPr>
      <w:r>
        <w:rPr>
          <w:b w:val="1"/>
          <w:sz w:val="28"/>
        </w:rPr>
        <w:t xml:space="preserve">Показатель </w:t>
      </w:r>
      <w:r>
        <w:rPr>
          <w:b w:val="1"/>
          <w:sz w:val="28"/>
        </w:rPr>
        <w:t>8. Среднемесячная номинальная заработная плата работников: крупных и средних предприятий и некоммерческих организаций; муниципальных дошкольных образовательных учреждений; муниципальных общеобразовательных учреждений; муниципальных учреждений культуры и искусства; муниципальных учреждений физической культуры и спорта.</w:t>
      </w:r>
    </w:p>
    <w:p w14:paraId="37000000">
      <w:pPr>
        <w:tabs>
          <w:tab w:leader="none" w:pos="1440" w:val="left"/>
        </w:tabs>
        <w:spacing w:line="100" w:lineRule="atLeast"/>
        <w:ind w:firstLine="709"/>
        <w:jc w:val="both"/>
        <w:rPr>
          <w:b w:val="1"/>
          <w:sz w:val="28"/>
        </w:rPr>
      </w:pPr>
    </w:p>
    <w:p w14:paraId="38000000">
      <w:pPr>
        <w:ind/>
        <w:jc w:val="both"/>
        <w:rPr>
          <w:color w:val="000000"/>
        </w:rPr>
      </w:pPr>
      <w:r>
        <w:rPr>
          <w:color w:val="000000"/>
          <w:sz w:val="28"/>
        </w:rPr>
        <w:t xml:space="preserve">Среднемесячная номинальная заработная плата работников крупных и средних предприятий и некоммерческих организаций </w:t>
      </w:r>
      <w:r>
        <w:rPr>
          <w:color w:val="000000"/>
          <w:sz w:val="28"/>
        </w:rPr>
        <w:t xml:space="preserve"> в 2018 году составляла 25372,5 рубля,</w:t>
      </w:r>
      <w:r>
        <w:rPr>
          <w:color w:val="000000"/>
          <w:sz w:val="28"/>
        </w:rPr>
        <w:t xml:space="preserve"> в 2019 году – 27449,5</w:t>
      </w:r>
    </w:p>
    <w:p w14:paraId="39000000">
      <w:pPr>
        <w:ind/>
        <w:jc w:val="both"/>
        <w:rPr>
          <w:color w:val="000000"/>
        </w:rPr>
      </w:pPr>
      <w:r>
        <w:rPr>
          <w:color w:val="000000"/>
          <w:sz w:val="28"/>
        </w:rPr>
        <w:t>В 2020</w:t>
      </w:r>
      <w:r>
        <w:rPr>
          <w:color w:val="000000"/>
          <w:sz w:val="28"/>
        </w:rPr>
        <w:t xml:space="preserve"> году среднемесячная номинальная заработная плата работников крупных и средних предприятий и некоммерческих организаций Песчанокопского района увеличилась по сравнению с 201</w:t>
      </w:r>
      <w:r>
        <w:rPr>
          <w:color w:val="000000"/>
          <w:sz w:val="28"/>
        </w:rPr>
        <w:t>9</w:t>
      </w:r>
      <w:r>
        <w:rPr>
          <w:color w:val="000000"/>
          <w:sz w:val="28"/>
        </w:rPr>
        <w:t xml:space="preserve"> годом на </w:t>
      </w:r>
      <w:r>
        <w:rPr>
          <w:color w:val="000000"/>
          <w:sz w:val="28"/>
        </w:rPr>
        <w:t>10,7</w:t>
      </w:r>
      <w:r>
        <w:rPr>
          <w:color w:val="000000"/>
          <w:sz w:val="28"/>
        </w:rPr>
        <w:t xml:space="preserve"> процентных пункта.</w:t>
      </w:r>
    </w:p>
    <w:p w14:paraId="3A000000">
      <w:pPr>
        <w:ind/>
        <w:jc w:val="both"/>
        <w:rPr>
          <w:color w:val="000000"/>
        </w:rPr>
      </w:pPr>
      <w:r>
        <w:rPr>
          <w:color w:val="000000"/>
          <w:sz w:val="28"/>
        </w:rPr>
        <w:t xml:space="preserve">        В соответствии с прогнозными данными темпы роста среднемесячной номинальной заработной платы работников крупных и средних предприятий и некоммерческих орган</w:t>
      </w:r>
      <w:r>
        <w:rPr>
          <w:color w:val="000000"/>
          <w:sz w:val="28"/>
        </w:rPr>
        <w:t>изаций составят в 2021 году - 107,0</w:t>
      </w:r>
      <w:r>
        <w:rPr>
          <w:color w:val="000000"/>
          <w:sz w:val="28"/>
        </w:rPr>
        <w:t xml:space="preserve">%, при среднемесячной заработной плате </w:t>
      </w:r>
      <w:r>
        <w:rPr>
          <w:color w:val="000000"/>
          <w:sz w:val="28"/>
        </w:rPr>
        <w:t>31466,6</w:t>
      </w:r>
      <w:r>
        <w:rPr>
          <w:color w:val="000000"/>
          <w:sz w:val="28"/>
        </w:rPr>
        <w:t xml:space="preserve"> руб., в 202</w:t>
      </w:r>
      <w:r>
        <w:rPr>
          <w:color w:val="000000"/>
          <w:sz w:val="28"/>
        </w:rPr>
        <w:t xml:space="preserve">2 году – </w:t>
      </w:r>
      <w:r>
        <w:rPr>
          <w:color w:val="000000"/>
          <w:sz w:val="28"/>
        </w:rPr>
        <w:t>107,1</w:t>
      </w:r>
      <w:r>
        <w:rPr>
          <w:color w:val="000000"/>
          <w:sz w:val="28"/>
        </w:rPr>
        <w:t>%, при среднем</w:t>
      </w:r>
      <w:r>
        <w:rPr>
          <w:color w:val="000000"/>
          <w:sz w:val="28"/>
        </w:rPr>
        <w:t>есячной заработной плате 33700,0 руб., в 2023 году – 107,2</w:t>
      </w:r>
      <w:r>
        <w:rPr>
          <w:color w:val="000000"/>
          <w:sz w:val="28"/>
        </w:rPr>
        <w:t>%, при среднем</w:t>
      </w:r>
      <w:r>
        <w:rPr>
          <w:color w:val="000000"/>
          <w:sz w:val="28"/>
        </w:rPr>
        <w:t>есячной заработной плате 36127,2</w:t>
      </w:r>
      <w:r>
        <w:rPr>
          <w:color w:val="000000"/>
          <w:sz w:val="28"/>
        </w:rPr>
        <w:t xml:space="preserve"> руб. Темпы роста заработной платы работников крупных и средних предприятий спрогнозированы с учетом прогнозных данных социально-эконом</w:t>
      </w:r>
      <w:r>
        <w:rPr>
          <w:color w:val="000000"/>
          <w:sz w:val="28"/>
        </w:rPr>
        <w:t>ического развития района на 2021-2023</w:t>
      </w:r>
      <w:r>
        <w:rPr>
          <w:color w:val="000000"/>
          <w:sz w:val="28"/>
        </w:rPr>
        <w:t>годы. На уровень оплаты труда работников крупных и средних предприятий в первую очередь влияет уровень оплаты труда работников сельскохозяйстве</w:t>
      </w:r>
      <w:r>
        <w:rPr>
          <w:color w:val="000000"/>
          <w:sz w:val="28"/>
        </w:rPr>
        <w:t>нных предприятий района. На 2020</w:t>
      </w:r>
      <w:r>
        <w:rPr>
          <w:color w:val="000000"/>
          <w:sz w:val="28"/>
        </w:rPr>
        <w:t xml:space="preserve"> год с учетом закупочных цен на зерновую продукцию и ростом затрат на ее производство, прогнозируется рост заработной платы раб</w:t>
      </w:r>
      <w:r>
        <w:rPr>
          <w:color w:val="000000"/>
          <w:sz w:val="28"/>
        </w:rPr>
        <w:t>отников сельского хозяйства на 7,5</w:t>
      </w:r>
      <w:r>
        <w:rPr>
          <w:color w:val="000000"/>
          <w:sz w:val="28"/>
        </w:rPr>
        <w:t>%.</w:t>
      </w:r>
    </w:p>
    <w:p w14:paraId="3B000000">
      <w:pPr>
        <w:ind/>
        <w:jc w:val="both"/>
        <w:rPr>
          <w:color w:val="000000"/>
        </w:rPr>
      </w:pPr>
      <w:r>
        <w:rPr>
          <w:color w:val="000000"/>
          <w:sz w:val="28"/>
        </w:rPr>
        <w:t xml:space="preserve">        Кроме того, рост среднемесячной номинальной заработной платы работников предприятий внебюджетного сектора экономики обусловлен доведением минимального размера оплаты труда до величины, установленной областны</w:t>
      </w:r>
      <w:r>
        <w:rPr>
          <w:color w:val="000000"/>
          <w:sz w:val="28"/>
        </w:rPr>
        <w:t>м трехсторонним соглашением 2020-2022</w:t>
      </w:r>
      <w:r>
        <w:rPr>
          <w:color w:val="000000"/>
          <w:sz w:val="28"/>
        </w:rPr>
        <w:t xml:space="preserve"> г.г.</w:t>
      </w:r>
    </w:p>
    <w:p w14:paraId="3C000000">
      <w:pPr>
        <w:ind w:firstLine="690"/>
        <w:jc w:val="both"/>
      </w:pPr>
      <w:r>
        <w:rPr>
          <w:sz w:val="28"/>
        </w:rPr>
        <w:t xml:space="preserve">Среднемесячная номинальная заработная плата работников муниципальных дошкольных образовательных учреждений в 2017 году -15033,6 рублей, в 2018 году – 16951,12 рублей, в 2019 году-18411,3 рубля. </w:t>
      </w:r>
    </w:p>
    <w:p w14:paraId="3D000000">
      <w:pPr>
        <w:ind w:firstLine="690"/>
        <w:jc w:val="both"/>
      </w:pPr>
      <w:r>
        <w:rPr>
          <w:sz w:val="28"/>
        </w:rPr>
        <w:t>Повышение заработной платы педагогических работников в 0,95 раза произошло за счет выплат стимулирующего характера педагогическим работникам, определенным указами Президента Российской Федерации от 07.05.2012 г №597 «О мерах по реализации государственной социальной политики». В 2020 году планируется сохранение уровня среднемесячной заработной платы   в размере не ниже 18728,0 рублей, в 2021 году- 20626,3 рублей, в 2022 году-22802,6 рублей.</w:t>
      </w:r>
    </w:p>
    <w:p w14:paraId="3E000000">
      <w:pPr>
        <w:ind w:firstLine="690"/>
        <w:jc w:val="both"/>
      </w:pPr>
      <w:r>
        <w:rPr>
          <w:sz w:val="28"/>
        </w:rPr>
        <w:t>Среднемесячная номинальная заработная плата работников муниципальных общеобразовательных учреждений в 2017 году – 22515,6 рублей, в 2018 году – 23045,84 рубля, в 2019 году- 25531,9 рубля. Повышение заработной платы в 0,94% произошло за счет выплат стимулирующего характера педагогическим работникам, определенным указами Президента Российской Федерации от 07.05.2012 г №597 «О мерах по реализации государственной социальной политики». В 2020 году планируется сохранение уровня среднемесячной заработной платы   в размере не ниже 25576,96 рублей, в 2021 году-27720,36 рублей, в 2022 году-30177,76 рублей.</w:t>
      </w:r>
    </w:p>
    <w:p w14:paraId="3F000000">
      <w:pPr>
        <w:ind w:firstLine="690"/>
        <w:jc w:val="both"/>
      </w:pPr>
      <w:r>
        <w:rPr>
          <w:sz w:val="28"/>
        </w:rPr>
        <w:t>Среднемесячная номинальная заработная плата учителей муниципальных общеобразовательных учреждений в 2017 году – 26599,7 рублей, в 2018 году – 27570,10 рублей, в 2019 году-29536,5 рубля. Повышение заработной платы в 0,94% произошло за счет выплат стимулирующего характера педагогическим работникам, определенным указами Президента Российской Федерации от 07.05.2012 г №597 «О мерах по реализации государственной социальной политики». С целью исполнения Указа Президента Российской Федерации от 07.05.2012 г №597 «О мерах по реализации государственной социальной политики» 2020 году планируется сохранение уровня среднемесячной заработной платы в размере не ниже 30695,80 рублей, в 2021 году- 32800, 7 рублей, в 2022 году- 35300,2 рублей.</w:t>
      </w:r>
    </w:p>
    <w:p w14:paraId="40000000">
      <w:pPr>
        <w:ind w:firstLine="690"/>
        <w:jc w:val="both"/>
      </w:pPr>
      <w:r>
        <w:rPr>
          <w:sz w:val="28"/>
        </w:rPr>
        <w:t>Среднемесячная номинальная заработная плата работников муниципальных учреждений культуры в 2017 году –22933,6 рублей, в 2018 году – 27735,6 рублей, в 2019 – 30060,0 рублей.  Повышение заработной платы на 5,1 % произошло за счет выплат стимулирующего характера работникам культуры, определенным указами Президента Российской Федерации от 07.05.2012 г №597 «О мерах по реализации государственной социальной политики». В 2020-2022 годах планируется сохранение уровня среднемесячной заработной платы в размере не ниже 30695,8 рублей в 2020 году, 32839,2 рублей в 2021году и 35296,6  в 2022 году.</w:t>
      </w:r>
    </w:p>
    <w:p w14:paraId="41000000">
      <w:pPr>
        <w:ind w:firstLine="690"/>
        <w:jc w:val="both"/>
        <w:rPr>
          <w:sz w:val="28"/>
        </w:rPr>
      </w:pPr>
    </w:p>
    <w:p w14:paraId="42000000">
      <w:pPr>
        <w:ind w:firstLine="690"/>
        <w:jc w:val="center"/>
      </w:pPr>
      <w:r>
        <w:rPr>
          <w:b w:val="1"/>
          <w:sz w:val="28"/>
        </w:rPr>
        <w:t xml:space="preserve"> </w:t>
      </w:r>
      <w:r>
        <w:rPr>
          <w:b w:val="1"/>
          <w:sz w:val="28"/>
        </w:rPr>
        <w:t>II</w:t>
      </w:r>
      <w:r>
        <w:rPr>
          <w:b w:val="1"/>
          <w:sz w:val="28"/>
        </w:rPr>
        <w:t>. Дошкольное образование</w:t>
      </w:r>
    </w:p>
    <w:p w14:paraId="43000000">
      <w:pPr>
        <w:ind w:firstLine="690"/>
        <w:jc w:val="center"/>
      </w:pPr>
    </w:p>
    <w:p w14:paraId="44000000">
      <w:pPr>
        <w:ind w:firstLine="709"/>
        <w:jc w:val="both"/>
      </w:pPr>
      <w:r>
        <w:rPr>
          <w:b w:val="1"/>
          <w:sz w:val="28"/>
        </w:rPr>
        <w:t>Показатель 9. Доля детей в возрасте 1-6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1-6 лет.</w:t>
      </w:r>
    </w:p>
    <w:p w14:paraId="45000000">
      <w:pPr>
        <w:ind w:firstLine="709"/>
        <w:jc w:val="both"/>
        <w:rPr>
          <w:b w:val="1"/>
          <w:sz w:val="28"/>
        </w:rPr>
      </w:pPr>
    </w:p>
    <w:p w14:paraId="46000000">
      <w:pPr>
        <w:ind w:firstLine="709"/>
        <w:jc w:val="both"/>
      </w:pPr>
      <w:r>
        <w:rPr>
          <w:sz w:val="28"/>
        </w:rPr>
        <w:t>В  2018 году – 57%, в 2019году</w:t>
      </w:r>
      <w:r>
        <w:rPr>
          <w:sz w:val="28"/>
        </w:rPr>
        <w:t>- 63%</w:t>
      </w:r>
      <w:r>
        <w:rPr>
          <w:sz w:val="28"/>
        </w:rPr>
        <w:t>, в 2020 году-60%</w:t>
      </w:r>
      <w:r>
        <w:rPr>
          <w:sz w:val="28"/>
        </w:rPr>
        <w:t xml:space="preserve"> .Это обусловлено зачислением детей в детские сады. </w:t>
      </w:r>
    </w:p>
    <w:p w14:paraId="47000000">
      <w:pPr>
        <w:ind w:firstLine="690"/>
        <w:jc w:val="both"/>
      </w:pPr>
      <w:r>
        <w:rPr>
          <w:sz w:val="28"/>
        </w:rPr>
        <w:t xml:space="preserve">В плановый период </w:t>
      </w:r>
      <w:r>
        <w:rPr>
          <w:sz w:val="28"/>
        </w:rPr>
        <w:t xml:space="preserve"> планируется </w:t>
      </w:r>
      <w:r>
        <w:rPr>
          <w:sz w:val="28"/>
        </w:rPr>
        <w:t xml:space="preserve">сохранение </w:t>
      </w:r>
      <w:r>
        <w:rPr>
          <w:sz w:val="28"/>
        </w:rPr>
        <w:t xml:space="preserve"> доли детей в возрасте от 1 до 6 лет, получающих дош</w:t>
      </w:r>
      <w:r>
        <w:rPr>
          <w:sz w:val="28"/>
        </w:rPr>
        <w:t xml:space="preserve">кольную образовательную услугу в </w:t>
      </w:r>
      <w:r>
        <w:rPr>
          <w:sz w:val="28"/>
        </w:rPr>
        <w:t>2021-202</w:t>
      </w:r>
      <w:r>
        <w:rPr>
          <w:sz w:val="28"/>
        </w:rPr>
        <w:t>3</w:t>
      </w:r>
      <w:r>
        <w:rPr>
          <w:sz w:val="28"/>
        </w:rPr>
        <w:t xml:space="preserve"> год</w:t>
      </w:r>
      <w:r>
        <w:rPr>
          <w:sz w:val="28"/>
        </w:rPr>
        <w:t>ах</w:t>
      </w:r>
      <w:r>
        <w:rPr>
          <w:sz w:val="28"/>
        </w:rPr>
        <w:t xml:space="preserve"> - 60,0%.</w:t>
      </w:r>
    </w:p>
    <w:p w14:paraId="48000000">
      <w:pPr>
        <w:ind w:firstLine="709"/>
        <w:jc w:val="both"/>
      </w:pPr>
      <w:r>
        <w:rPr>
          <w:b w:val="1"/>
          <w:sz w:val="28"/>
        </w:rPr>
        <w:t>Показатель 10. Доля детей в возрасте 1-6 лет, стоящих на учете для определения в муниципальные дошкольные образовательные учреждения, в общей численности детей в возрасте 1-6 лет.</w:t>
      </w:r>
    </w:p>
    <w:p w14:paraId="49000000">
      <w:pPr>
        <w:ind/>
        <w:jc w:val="both"/>
        <w:rPr>
          <w:sz w:val="28"/>
          <w:shd w:fill="99FF66" w:val="clear"/>
        </w:rPr>
      </w:pPr>
    </w:p>
    <w:p w14:paraId="4A000000">
      <w:pPr>
        <w:ind w:firstLine="709"/>
        <w:jc w:val="both"/>
      </w:pPr>
      <w:r>
        <w:rPr>
          <w:sz w:val="28"/>
        </w:rPr>
        <w:t>Доля детей в возрасте 1-6 лет, стоящих на учете для определения в муниципальные дошкольные образовательные учреждения, в общей численности детей в возрасте 1-6 лет  в 2018 году -5,66%, в 2019 году- 4.29%</w:t>
      </w:r>
      <w:r>
        <w:rPr>
          <w:sz w:val="28"/>
        </w:rPr>
        <w:t>, в 2020 году-3,7%</w:t>
      </w:r>
      <w:r>
        <w:rPr>
          <w:sz w:val="28"/>
        </w:rPr>
        <w:t>.</w:t>
      </w:r>
    </w:p>
    <w:p w14:paraId="4B000000">
      <w:pPr>
        <w:ind w:firstLine="709"/>
        <w:jc w:val="both"/>
      </w:pPr>
      <w:r>
        <w:rPr>
          <w:sz w:val="28"/>
        </w:rPr>
        <w:t>В 2020</w:t>
      </w:r>
      <w:r>
        <w:rPr>
          <w:sz w:val="28"/>
        </w:rPr>
        <w:t xml:space="preserve"> году доля детей в возрасте 1-6 лет, стоящих на учете для определения в муниципальные дошкольные образовательные учреждения, составила </w:t>
      </w:r>
      <w:r>
        <w:rPr>
          <w:sz w:val="28"/>
        </w:rPr>
        <w:t>3,7</w:t>
      </w:r>
      <w:r>
        <w:rPr>
          <w:sz w:val="28"/>
        </w:rPr>
        <w:t>%, что меньше значения показателя  за 201</w:t>
      </w:r>
      <w:r>
        <w:rPr>
          <w:sz w:val="28"/>
        </w:rPr>
        <w:t>9</w:t>
      </w:r>
      <w:r>
        <w:rPr>
          <w:sz w:val="28"/>
        </w:rPr>
        <w:t xml:space="preserve"> год. Это обусловлено  зачислением  и наличием очередности детей дошкольного возраста для предоставления места в дошкольные образовательные учреждения</w:t>
      </w:r>
      <w:r>
        <w:rPr>
          <w:sz w:val="28"/>
        </w:rPr>
        <w:t>. «Актуальная очередь»</w:t>
      </w:r>
      <w:r>
        <w:rPr>
          <w:sz w:val="28"/>
        </w:rPr>
        <w:t xml:space="preserve"> по состоянию на 30 декабря 20</w:t>
      </w:r>
      <w:r>
        <w:rPr>
          <w:sz w:val="28"/>
        </w:rPr>
        <w:t>20</w:t>
      </w:r>
      <w:r>
        <w:rPr>
          <w:sz w:val="28"/>
        </w:rPr>
        <w:t xml:space="preserve"> года   отсутствует, все заявления, поданные в 20</w:t>
      </w:r>
      <w:r>
        <w:rPr>
          <w:sz w:val="28"/>
        </w:rPr>
        <w:t>20</w:t>
      </w:r>
      <w:r>
        <w:rPr>
          <w:sz w:val="28"/>
        </w:rPr>
        <w:t xml:space="preserve"> году, удовлетворены. </w:t>
      </w:r>
    </w:p>
    <w:p w14:paraId="4C000000">
      <w:pPr>
        <w:ind w:firstLine="709"/>
        <w:jc w:val="both"/>
      </w:pPr>
      <w:r>
        <w:rPr>
          <w:sz w:val="28"/>
        </w:rPr>
        <w:t>В 202</w:t>
      </w:r>
      <w:r>
        <w:rPr>
          <w:sz w:val="28"/>
        </w:rPr>
        <w:t>1</w:t>
      </w:r>
      <w:r>
        <w:rPr>
          <w:sz w:val="28"/>
        </w:rPr>
        <w:t>-202</w:t>
      </w:r>
      <w:r>
        <w:rPr>
          <w:sz w:val="28"/>
        </w:rPr>
        <w:t>3</w:t>
      </w:r>
      <w:r>
        <w:rPr>
          <w:sz w:val="28"/>
        </w:rPr>
        <w:t xml:space="preserve"> годах планируется сохранение нулевого показателя по «актуальной очереди».</w:t>
      </w:r>
    </w:p>
    <w:p w14:paraId="4D000000">
      <w:pPr>
        <w:ind w:firstLine="709"/>
        <w:jc w:val="both"/>
      </w:pPr>
    </w:p>
    <w:p w14:paraId="4E000000">
      <w:pPr>
        <w:ind w:firstLine="709"/>
        <w:jc w:val="both"/>
      </w:pPr>
      <w:r>
        <w:rPr>
          <w:b w:val="1"/>
          <w:sz w:val="28"/>
        </w:rPr>
        <w:t>Показатель 11. 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учреждений.</w:t>
      </w:r>
    </w:p>
    <w:p w14:paraId="4F000000">
      <w:pPr>
        <w:ind w:firstLine="709"/>
        <w:jc w:val="both"/>
        <w:rPr>
          <w:b w:val="1"/>
          <w:sz w:val="28"/>
          <w:highlight w:val="white"/>
        </w:rPr>
      </w:pPr>
    </w:p>
    <w:p w14:paraId="50000000">
      <w:pPr>
        <w:ind w:firstLine="709"/>
        <w:jc w:val="both"/>
      </w:pPr>
      <w:r>
        <w:rPr>
          <w:sz w:val="28"/>
        </w:rPr>
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 в в 2018 году – 0%, в 2019 году – 0%</w:t>
      </w:r>
      <w:r>
        <w:rPr>
          <w:sz w:val="28"/>
        </w:rPr>
        <w:t>, в 2020 году-0%</w:t>
      </w:r>
      <w:r>
        <w:rPr>
          <w:sz w:val="28"/>
        </w:rPr>
        <w:t>.</w:t>
      </w:r>
    </w:p>
    <w:p w14:paraId="51000000">
      <w:pPr>
        <w:ind w:firstLine="709"/>
        <w:jc w:val="both"/>
      </w:pPr>
      <w:r>
        <w:rPr>
          <w:sz w:val="28"/>
        </w:rPr>
        <w:t>В 2021-2023</w:t>
      </w:r>
      <w:r>
        <w:rPr>
          <w:sz w:val="28"/>
        </w:rPr>
        <w:t xml:space="preserve"> годах изменение данного показателя не планируется.</w:t>
      </w:r>
    </w:p>
    <w:p w14:paraId="52000000">
      <w:pPr>
        <w:ind w:firstLine="709"/>
        <w:jc w:val="both"/>
        <w:rPr>
          <w:b w:val="1"/>
          <w:sz w:val="28"/>
        </w:rPr>
      </w:pPr>
    </w:p>
    <w:p w14:paraId="53000000">
      <w:pPr>
        <w:ind w:firstLine="709"/>
        <w:jc w:val="center"/>
      </w:pPr>
      <w:r>
        <w:rPr>
          <w:b w:val="1"/>
          <w:sz w:val="28"/>
        </w:rPr>
        <w:t>III</w:t>
      </w:r>
      <w:r>
        <w:rPr>
          <w:b w:val="1"/>
          <w:sz w:val="28"/>
        </w:rPr>
        <w:t>. Общее и дополнительное образование</w:t>
      </w:r>
    </w:p>
    <w:p w14:paraId="54000000">
      <w:pPr>
        <w:ind w:firstLine="709"/>
        <w:jc w:val="both"/>
        <w:rPr>
          <w:sz w:val="28"/>
        </w:rPr>
      </w:pPr>
    </w:p>
    <w:p w14:paraId="55000000">
      <w:pPr>
        <w:ind w:firstLine="709"/>
        <w:jc w:val="both"/>
      </w:pPr>
      <w:r>
        <w:rPr>
          <w:b w:val="1"/>
          <w:sz w:val="28"/>
        </w:rPr>
        <w:t>Показатель 13. 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учреждений.</w:t>
      </w:r>
    </w:p>
    <w:p w14:paraId="56000000">
      <w:pPr>
        <w:ind/>
        <w:jc w:val="both"/>
        <w:rPr>
          <w:b w:val="1"/>
          <w:sz w:val="28"/>
        </w:rPr>
      </w:pPr>
    </w:p>
    <w:p w14:paraId="57000000">
      <w:pPr>
        <w:ind w:firstLine="709"/>
        <w:jc w:val="both"/>
      </w:pPr>
      <w:r>
        <w:rPr>
          <w:sz w:val="28"/>
        </w:rPr>
        <w:t>В 2018</w:t>
      </w:r>
      <w:r>
        <w:rPr>
          <w:sz w:val="28"/>
        </w:rPr>
        <w:t>-20</w:t>
      </w:r>
      <w:r>
        <w:rPr>
          <w:sz w:val="28"/>
        </w:rPr>
        <w:t>20</w:t>
      </w:r>
      <w:r>
        <w:rPr>
          <w:sz w:val="28"/>
        </w:rPr>
        <w:t xml:space="preserve"> годах доля выпускников общеобразовательных учреждений района, не получивших аттестат о среднем (полном) образовании, составляет 0,00%. Все выпускники общеобразовательных учреждений района прошли государственную итоговую аттестацию и получили документы об образовании. </w:t>
      </w:r>
    </w:p>
    <w:p w14:paraId="58000000">
      <w:pPr>
        <w:ind w:firstLine="709"/>
        <w:jc w:val="both"/>
      </w:pPr>
      <w:r>
        <w:rPr>
          <w:sz w:val="28"/>
        </w:rPr>
        <w:t>В 202</w:t>
      </w:r>
      <w:r>
        <w:rPr>
          <w:sz w:val="28"/>
        </w:rPr>
        <w:t>1</w:t>
      </w:r>
      <w:r>
        <w:rPr>
          <w:sz w:val="28"/>
        </w:rPr>
        <w:t>-202</w:t>
      </w:r>
      <w:r>
        <w:rPr>
          <w:sz w:val="28"/>
        </w:rPr>
        <w:t>3</w:t>
      </w:r>
      <w:r>
        <w:rPr>
          <w:sz w:val="28"/>
        </w:rPr>
        <w:t xml:space="preserve"> годах изменение данного показателя не планируется</w:t>
      </w:r>
      <w:r>
        <w:rPr>
          <w:sz w:val="28"/>
        </w:rPr>
        <w:t>.</w:t>
      </w:r>
    </w:p>
    <w:p w14:paraId="59000000">
      <w:pPr>
        <w:ind w:firstLine="709"/>
        <w:jc w:val="both"/>
        <w:rPr>
          <w:sz w:val="28"/>
        </w:rPr>
      </w:pPr>
    </w:p>
    <w:p w14:paraId="5A000000">
      <w:pPr>
        <w:ind w:firstLine="708"/>
        <w:jc w:val="both"/>
      </w:pPr>
      <w:r>
        <w:rPr>
          <w:b w:val="1"/>
          <w:sz w:val="28"/>
        </w:rPr>
        <w:t>Показатель 14.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учреждений.</w:t>
      </w:r>
    </w:p>
    <w:p w14:paraId="5B000000">
      <w:pPr>
        <w:ind/>
        <w:jc w:val="both"/>
        <w:rPr>
          <w:b w:val="1"/>
          <w:sz w:val="28"/>
        </w:rPr>
      </w:pPr>
    </w:p>
    <w:p w14:paraId="5C000000">
      <w:pPr>
        <w:ind w:firstLine="709"/>
        <w:jc w:val="both"/>
      </w:pPr>
      <w:r>
        <w:rPr>
          <w:sz w:val="28"/>
        </w:rPr>
        <w:t>Доля муниципальных общеобразовательных учреждений, соответствующих современным требованиям обучения в 2018 году – 84,05%, в 2019 году- 88,64</w:t>
      </w:r>
      <w:r>
        <w:rPr>
          <w:sz w:val="28"/>
        </w:rPr>
        <w:t>%, в 2020 году-88,64%</w:t>
      </w:r>
      <w:r>
        <w:rPr>
          <w:sz w:val="28"/>
        </w:rPr>
        <w:t xml:space="preserve">. </w:t>
      </w:r>
    </w:p>
    <w:p w14:paraId="5D000000">
      <w:pPr>
        <w:ind w:firstLine="709"/>
        <w:jc w:val="both"/>
      </w:pPr>
      <w:r>
        <w:rPr>
          <w:sz w:val="28"/>
        </w:rPr>
        <w:t>В 2021</w:t>
      </w:r>
      <w:r>
        <w:rPr>
          <w:sz w:val="28"/>
        </w:rPr>
        <w:t>-2023  годах</w:t>
      </w:r>
      <w:r>
        <w:rPr>
          <w:sz w:val="28"/>
        </w:rPr>
        <w:t xml:space="preserve"> планируется увеличение данного показателя до 100% в связи с завершением капитальн</w:t>
      </w:r>
      <w:r>
        <w:rPr>
          <w:sz w:val="28"/>
        </w:rPr>
        <w:t>ого</w:t>
      </w:r>
      <w:r>
        <w:rPr>
          <w:sz w:val="28"/>
        </w:rPr>
        <w:t xml:space="preserve"> ремонт</w:t>
      </w:r>
      <w:r>
        <w:rPr>
          <w:sz w:val="28"/>
        </w:rPr>
        <w:t>а</w:t>
      </w:r>
      <w:r>
        <w:rPr>
          <w:sz w:val="28"/>
        </w:rPr>
        <w:t xml:space="preserve"> МБОУ Краснополянской СОШ№32.</w:t>
      </w:r>
    </w:p>
    <w:p w14:paraId="5E000000">
      <w:pPr>
        <w:ind w:firstLine="709"/>
        <w:jc w:val="both"/>
        <w:rPr>
          <w:sz w:val="28"/>
        </w:rPr>
      </w:pPr>
    </w:p>
    <w:p w14:paraId="5F000000">
      <w:pPr>
        <w:ind w:firstLine="709"/>
        <w:jc w:val="both"/>
      </w:pPr>
      <w:r>
        <w:rPr>
          <w:b w:val="1"/>
          <w:sz w:val="28"/>
        </w:rPr>
        <w:t>Показатель 15. 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учреждений.</w:t>
      </w:r>
    </w:p>
    <w:p w14:paraId="60000000">
      <w:pPr>
        <w:ind/>
        <w:jc w:val="both"/>
        <w:rPr>
          <w:b w:val="1"/>
          <w:sz w:val="28"/>
        </w:rPr>
      </w:pPr>
    </w:p>
    <w:p w14:paraId="61000000">
      <w:pPr>
        <w:ind w:firstLine="708"/>
        <w:jc w:val="both"/>
      </w:pPr>
      <w:r>
        <w:rPr>
          <w:sz w:val="28"/>
        </w:rPr>
        <w:t>В 2018 году  начат капитальный ремонт Муниципального бюджетного общеобразовательного учреждения Песчанокопской средней общеобразовательной школы №1 им Г.В. Алисова.</w:t>
      </w:r>
      <w:r>
        <w:t xml:space="preserve"> </w:t>
      </w:r>
      <w:r>
        <w:rPr>
          <w:sz w:val="28"/>
        </w:rPr>
        <w:t>В 2019 году показатель составил 18,18%.</w:t>
      </w:r>
    </w:p>
    <w:p w14:paraId="62000000">
      <w:pPr>
        <w:ind w:firstLine="708"/>
        <w:jc w:val="both"/>
      </w:pPr>
      <w:r>
        <w:rPr>
          <w:sz w:val="28"/>
        </w:rPr>
        <w:t>В 202</w:t>
      </w:r>
      <w:r>
        <w:rPr>
          <w:sz w:val="28"/>
        </w:rPr>
        <w:t>0</w:t>
      </w:r>
      <w:r>
        <w:rPr>
          <w:sz w:val="28"/>
        </w:rPr>
        <w:t xml:space="preserve"> год</w:t>
      </w:r>
      <w:r>
        <w:rPr>
          <w:sz w:val="28"/>
        </w:rPr>
        <w:t>у</w:t>
      </w:r>
      <w:r>
        <w:rPr>
          <w:sz w:val="28"/>
        </w:rPr>
        <w:t xml:space="preserve"> в виду завершения капитального ремонта МБОУ Песчанокопской СОШ№1 им. Г. В. Алисова</w:t>
      </w:r>
      <w:r>
        <w:rPr>
          <w:sz w:val="28"/>
        </w:rPr>
        <w:t xml:space="preserve">   данный  показатель уменьшился  до  уровня  0,9%.</w:t>
      </w:r>
    </w:p>
    <w:p w14:paraId="63000000">
      <w:pPr>
        <w:ind w:firstLine="709"/>
        <w:jc w:val="both"/>
      </w:pPr>
      <w:r>
        <w:rPr>
          <w:sz w:val="28"/>
        </w:rPr>
        <w:t xml:space="preserve"> В 2021 году</w:t>
      </w:r>
      <w:r>
        <w:rPr>
          <w:sz w:val="28"/>
        </w:rPr>
        <w:t xml:space="preserve"> и на период 2022-2023 годов</w:t>
      </w:r>
      <w:r>
        <w:rPr>
          <w:sz w:val="28"/>
        </w:rPr>
        <w:t xml:space="preserve"> планируется </w:t>
      </w:r>
      <w:r>
        <w:rPr>
          <w:sz w:val="28"/>
        </w:rPr>
        <w:t>сохранение  данного показателя на уровне  0%</w:t>
      </w:r>
      <w:r>
        <w:rPr>
          <w:sz w:val="28"/>
        </w:rPr>
        <w:t>.</w:t>
      </w:r>
    </w:p>
    <w:p w14:paraId="64000000">
      <w:pPr>
        <w:ind w:firstLine="709"/>
        <w:jc w:val="both"/>
        <w:rPr>
          <w:sz w:val="28"/>
        </w:rPr>
      </w:pPr>
    </w:p>
    <w:p w14:paraId="65000000">
      <w:pPr>
        <w:ind w:firstLine="709"/>
        <w:jc w:val="both"/>
      </w:pPr>
      <w:r>
        <w:rPr>
          <w:b w:val="1"/>
          <w:sz w:val="28"/>
        </w:rPr>
        <w:t>Показатель 16. Доля детей первой и второй групп здоровья в общей численности, обучающихся в муниципальных общеобразовательных учреждениях.</w:t>
      </w:r>
    </w:p>
    <w:p w14:paraId="66000000">
      <w:pPr>
        <w:ind/>
        <w:jc w:val="both"/>
        <w:rPr>
          <w:sz w:val="28"/>
        </w:rPr>
      </w:pPr>
    </w:p>
    <w:p w14:paraId="67000000">
      <w:pPr>
        <w:ind w:firstLine="708"/>
        <w:jc w:val="both"/>
      </w:pPr>
      <w:r>
        <w:rPr>
          <w:sz w:val="28"/>
        </w:rPr>
        <w:t>Доля детей первой и второй групп здоровья  в 2018 году – 82,11%, в 2019 году- 89,71 %</w:t>
      </w:r>
      <w:r>
        <w:rPr>
          <w:sz w:val="28"/>
        </w:rPr>
        <w:t>, в 2020 году-86,3%</w:t>
      </w:r>
      <w:r>
        <w:rPr>
          <w:sz w:val="28"/>
        </w:rPr>
        <w:t>.</w:t>
      </w:r>
    </w:p>
    <w:p w14:paraId="68000000">
      <w:pPr>
        <w:ind w:firstLine="708"/>
        <w:jc w:val="both"/>
      </w:pPr>
      <w:r>
        <w:rPr>
          <w:sz w:val="28"/>
        </w:rPr>
        <w:t>Уменьшение</w:t>
      </w:r>
      <w:r>
        <w:rPr>
          <w:sz w:val="28"/>
        </w:rPr>
        <w:t xml:space="preserve"> показателя в 20</w:t>
      </w:r>
      <w:r>
        <w:rPr>
          <w:sz w:val="28"/>
        </w:rPr>
        <w:t xml:space="preserve">20 году обусловлено </w:t>
      </w:r>
      <w:r>
        <w:rPr>
          <w:sz w:val="28"/>
        </w:rPr>
        <w:t xml:space="preserve"> выявлением заболеваний у детей школьного возраста в период проведения медицинских осмотров, диагностик с   использованием аппаратно-программного комплекса «АРМИС». </w:t>
      </w:r>
    </w:p>
    <w:p w14:paraId="69000000">
      <w:pPr>
        <w:ind w:firstLine="708"/>
        <w:jc w:val="both"/>
      </w:pPr>
      <w:r>
        <w:rPr>
          <w:sz w:val="28"/>
        </w:rPr>
        <w:t xml:space="preserve">С целью увеличения значения данного показателя в каждом общеобразовательном учреждении разработаны и действуют «Программы здоровья». Учащиеся вторых классов из 7 общеобразовательных учреждений </w:t>
      </w:r>
      <w:r>
        <w:rPr>
          <w:sz w:val="28"/>
        </w:rPr>
        <w:t xml:space="preserve">района в количестве 190 человек </w:t>
      </w:r>
      <w:r>
        <w:rPr>
          <w:sz w:val="28"/>
        </w:rPr>
        <w:t xml:space="preserve"> участвовали в областном проекте «Всеобуч по плаванию». Количество обучающихся, охваченных сбалансированным питанием, составило </w:t>
      </w:r>
      <w:r>
        <w:rPr>
          <w:sz w:val="28"/>
        </w:rPr>
        <w:t>96,0</w:t>
      </w:r>
      <w:r>
        <w:rPr>
          <w:sz w:val="28"/>
        </w:rPr>
        <w:t xml:space="preserve">%. </w:t>
      </w:r>
    </w:p>
    <w:p w14:paraId="6A000000">
      <w:pPr>
        <w:ind w:firstLine="709"/>
        <w:jc w:val="both"/>
      </w:pPr>
      <w:r>
        <w:rPr>
          <w:sz w:val="28"/>
        </w:rPr>
        <w:t>В 20</w:t>
      </w:r>
      <w:r>
        <w:rPr>
          <w:sz w:val="28"/>
        </w:rPr>
        <w:t>20</w:t>
      </w:r>
      <w:r>
        <w:rPr>
          <w:sz w:val="28"/>
        </w:rPr>
        <w:t xml:space="preserve"> году 6 школ продолжают участие в проекте по здоровьесбережению с использованием аппаратно-программного комплекса «АРМИС» (МБОУ Песчанокопская СОШ№1 им. Г. В. Алисова, МБОМБОУ Песчанокопская СОШ№2, МБОУ Развиленская СОШ№9, МБОУ Краснополянская СОШ№32, МБОУ Жуковская СОШ№22, МБОУ Летницкая СОШ№16 им. Н. В. Переверзевой), продолжается реализация дополнительных программ «Здоровье», «Здоровое питание в образовательных учреждениях», «Профилактика вредных привычек». В 20</w:t>
      </w:r>
      <w:r>
        <w:rPr>
          <w:sz w:val="28"/>
        </w:rPr>
        <w:t>20</w:t>
      </w:r>
      <w:r>
        <w:rPr>
          <w:sz w:val="28"/>
        </w:rPr>
        <w:t xml:space="preserve"> году образовательные учреждения </w:t>
      </w:r>
      <w:r>
        <w:rPr>
          <w:sz w:val="28"/>
        </w:rPr>
        <w:t xml:space="preserve">продолжили участие </w:t>
      </w:r>
      <w:r>
        <w:rPr>
          <w:sz w:val="28"/>
        </w:rPr>
        <w:t xml:space="preserve"> в видиолектори</w:t>
      </w:r>
      <w:r>
        <w:rPr>
          <w:sz w:val="28"/>
        </w:rPr>
        <w:t>ях</w:t>
      </w:r>
      <w:r>
        <w:rPr>
          <w:sz w:val="28"/>
        </w:rPr>
        <w:t xml:space="preserve"> по здоровьесбережению</w:t>
      </w:r>
      <w:r>
        <w:rPr>
          <w:sz w:val="28"/>
        </w:rPr>
        <w:t>, действующий на базе</w:t>
      </w:r>
      <w:r>
        <w:rPr>
          <w:sz w:val="28"/>
        </w:rPr>
        <w:t xml:space="preserve"> поликлиники г. Ростова-на- Дону №1. В связи с этим </w:t>
      </w:r>
      <w:r>
        <w:rPr>
          <w:sz w:val="28"/>
        </w:rPr>
        <w:t xml:space="preserve">планируется сохранение </w:t>
      </w:r>
      <w:r>
        <w:rPr>
          <w:sz w:val="28"/>
        </w:rPr>
        <w:t xml:space="preserve">количество обучающихся, охваченных сбалансированным питанием </w:t>
      </w:r>
      <w:r>
        <w:rPr>
          <w:sz w:val="28"/>
        </w:rPr>
        <w:t xml:space="preserve">в </w:t>
      </w:r>
      <w:r>
        <w:rPr>
          <w:sz w:val="28"/>
        </w:rPr>
        <w:t>2021-2023</w:t>
      </w:r>
      <w:r>
        <w:rPr>
          <w:sz w:val="28"/>
        </w:rPr>
        <w:t xml:space="preserve"> годах на уровне </w:t>
      </w:r>
      <w:r>
        <w:rPr>
          <w:sz w:val="28"/>
        </w:rPr>
        <w:t xml:space="preserve"> не ниже 90,0%</w:t>
      </w:r>
      <w:r>
        <w:rPr>
          <w:sz w:val="28"/>
        </w:rPr>
        <w:t>.</w:t>
      </w:r>
    </w:p>
    <w:p w14:paraId="6B000000">
      <w:pPr>
        <w:ind w:firstLine="709"/>
        <w:jc w:val="both"/>
      </w:pPr>
      <w:r>
        <w:rPr>
          <w:sz w:val="28"/>
        </w:rPr>
        <w:t xml:space="preserve"> </w:t>
      </w:r>
    </w:p>
    <w:p w14:paraId="6C000000">
      <w:pPr>
        <w:ind w:firstLine="709"/>
        <w:jc w:val="both"/>
      </w:pPr>
      <w:r>
        <w:rPr>
          <w:b w:val="1"/>
          <w:sz w:val="28"/>
        </w:rPr>
        <w:t>Показатель 17. Доля обучающихся в муниципальных общеобразовательных учреждениях, занимающихся во вторую (третью) смену, в общей численности, обучающихся в муниципальных общеобразовательных учреждениях.</w:t>
      </w:r>
    </w:p>
    <w:p w14:paraId="6D000000">
      <w:pPr>
        <w:ind w:firstLine="709"/>
        <w:jc w:val="both"/>
        <w:rPr>
          <w:sz w:val="28"/>
        </w:rPr>
      </w:pPr>
    </w:p>
    <w:p w14:paraId="6E000000">
      <w:pPr>
        <w:ind w:firstLine="709"/>
        <w:jc w:val="both"/>
      </w:pPr>
      <w:r>
        <w:rPr>
          <w:sz w:val="28"/>
        </w:rPr>
        <w:t>В 2018 году доля обучающихся в муниципальных общеобразовательных учреждениях, занимающихся во вторую (третью) смену, в общей численности, обучающихся в муниципальных общеобразовательных учреждениях составила 14,09%, в 2019 году- 14.98 в виду капитального ремонта ПСОШ №1 до 2020 года.</w:t>
      </w:r>
    </w:p>
    <w:p w14:paraId="6F000000">
      <w:pPr>
        <w:ind w:firstLine="709"/>
        <w:jc w:val="both"/>
      </w:pPr>
      <w:r>
        <w:rPr>
          <w:sz w:val="28"/>
        </w:rPr>
        <w:t xml:space="preserve">В 2020 году в виду капитального ремонта КСОШ №32 значение данного показателя планируется </w:t>
      </w:r>
      <w:r>
        <w:rPr>
          <w:sz w:val="28"/>
        </w:rPr>
        <w:t>составляет</w:t>
      </w:r>
      <w:r>
        <w:rPr>
          <w:sz w:val="28"/>
        </w:rPr>
        <w:t xml:space="preserve">  4,6%.</w:t>
      </w:r>
    </w:p>
    <w:p w14:paraId="70000000">
      <w:pPr>
        <w:ind w:firstLine="709"/>
        <w:jc w:val="both"/>
      </w:pPr>
      <w:r>
        <w:rPr>
          <w:sz w:val="28"/>
        </w:rPr>
        <w:t xml:space="preserve"> В 2021-2022 годах значение данного показателя составит 0%.</w:t>
      </w:r>
    </w:p>
    <w:p w14:paraId="71000000">
      <w:pPr>
        <w:ind w:firstLine="709"/>
        <w:jc w:val="both"/>
        <w:rPr>
          <w:sz w:val="28"/>
        </w:rPr>
      </w:pPr>
    </w:p>
    <w:p w14:paraId="72000000">
      <w:pPr>
        <w:ind w:firstLine="709"/>
        <w:jc w:val="both"/>
      </w:pPr>
      <w:r>
        <w:rPr>
          <w:b w:val="1"/>
          <w:sz w:val="28"/>
        </w:rPr>
        <w:t>Показатель 18. Расходы бюджета муниципального образования на общее образование в расчете на 1 обучающегося в муниципальных общеобразовательных учреждениях.</w:t>
      </w:r>
    </w:p>
    <w:p w14:paraId="73000000">
      <w:pPr>
        <w:ind w:firstLine="709"/>
        <w:jc w:val="both"/>
        <w:rPr>
          <w:b w:val="1"/>
          <w:sz w:val="28"/>
        </w:rPr>
      </w:pPr>
    </w:p>
    <w:p w14:paraId="74000000">
      <w:pPr>
        <w:ind w:firstLine="709"/>
        <w:jc w:val="both"/>
      </w:pPr>
      <w:r>
        <w:rPr>
          <w:sz w:val="28"/>
        </w:rPr>
        <w:t>Расходы бюджета муниципального образования на общее образование в расчете на 1 обучающегося в муниципальных общеобразовательных учреждениях Песчанокопского района составили в 2018 году – 93,5, в 2019 году-113,3 т.р.</w:t>
      </w:r>
      <w:r>
        <w:rPr>
          <w:sz w:val="28"/>
        </w:rPr>
        <w:t>, в 2020 году-156,1 т.р.</w:t>
      </w:r>
    </w:p>
    <w:p w14:paraId="75000000">
      <w:pPr>
        <w:ind w:firstLine="709"/>
        <w:jc w:val="both"/>
      </w:pPr>
      <w:r>
        <w:rPr>
          <w:sz w:val="28"/>
        </w:rPr>
        <w:t>Увеличение показателей 20</w:t>
      </w:r>
      <w:r>
        <w:rPr>
          <w:sz w:val="28"/>
        </w:rPr>
        <w:t>20</w:t>
      </w:r>
      <w:r>
        <w:rPr>
          <w:sz w:val="28"/>
        </w:rPr>
        <w:t xml:space="preserve"> года обусловлено увеличением запланированного в бюджете объема финансирования в виду проведения капитального ремонта МБОУ Песчанокопской СОШ№1 им. Г. В. Алисова</w:t>
      </w:r>
      <w:r>
        <w:rPr>
          <w:sz w:val="28"/>
        </w:rPr>
        <w:t xml:space="preserve"> и МБОУ Краснополянской СОШ№32</w:t>
      </w:r>
      <w:r>
        <w:rPr>
          <w:sz w:val="28"/>
        </w:rPr>
        <w:t xml:space="preserve">. </w:t>
      </w:r>
    </w:p>
    <w:p w14:paraId="76000000">
      <w:pPr>
        <w:ind w:firstLine="709"/>
        <w:jc w:val="both"/>
        <w:rPr>
          <w:sz w:val="28"/>
        </w:rPr>
      </w:pPr>
      <w:r>
        <w:rPr>
          <w:sz w:val="28"/>
        </w:rPr>
        <w:t>Прогнозное значение данного показателя в 202</w:t>
      </w:r>
      <w:r>
        <w:rPr>
          <w:sz w:val="28"/>
        </w:rPr>
        <w:t>1</w:t>
      </w:r>
      <w:r>
        <w:rPr>
          <w:sz w:val="28"/>
        </w:rPr>
        <w:t xml:space="preserve"> году  - </w:t>
      </w:r>
      <w:r>
        <w:rPr>
          <w:sz w:val="28"/>
        </w:rPr>
        <w:t>128,</w:t>
      </w:r>
      <w:r>
        <w:rPr>
          <w:sz w:val="28"/>
        </w:rPr>
        <w:t>6</w:t>
      </w:r>
      <w:r>
        <w:rPr>
          <w:sz w:val="28"/>
        </w:rPr>
        <w:t xml:space="preserve"> т</w:t>
      </w:r>
      <w:r>
        <w:rPr>
          <w:sz w:val="28"/>
        </w:rPr>
        <w:t>.</w:t>
      </w:r>
      <w:r>
        <w:rPr>
          <w:sz w:val="28"/>
        </w:rPr>
        <w:t xml:space="preserve"> р</w:t>
      </w:r>
      <w:r>
        <w:rPr>
          <w:sz w:val="28"/>
        </w:rPr>
        <w:t>.</w:t>
      </w:r>
      <w:r>
        <w:rPr>
          <w:sz w:val="28"/>
        </w:rPr>
        <w:t xml:space="preserve">, что связано с  </w:t>
      </w:r>
      <w:r>
        <w:rPr>
          <w:sz w:val="28"/>
        </w:rPr>
        <w:t>имеющимся</w:t>
      </w:r>
      <w:r>
        <w:rPr>
          <w:sz w:val="28"/>
        </w:rPr>
        <w:t xml:space="preserve"> </w:t>
      </w:r>
      <w:r>
        <w:rPr>
          <w:sz w:val="28"/>
        </w:rPr>
        <w:t xml:space="preserve">  объемом</w:t>
      </w:r>
      <w:r>
        <w:rPr>
          <w:sz w:val="28"/>
        </w:rPr>
        <w:t xml:space="preserve"> финансирования в виду проведения капитального ремонта МБОУ Краснополянской СОШ№32 . В 202</w:t>
      </w:r>
      <w:r>
        <w:rPr>
          <w:sz w:val="28"/>
        </w:rPr>
        <w:t>2</w:t>
      </w:r>
      <w:r>
        <w:rPr>
          <w:sz w:val="28"/>
        </w:rPr>
        <w:t>-202</w:t>
      </w:r>
      <w:r>
        <w:rPr>
          <w:sz w:val="28"/>
        </w:rPr>
        <w:t>3</w:t>
      </w:r>
      <w:r>
        <w:rPr>
          <w:sz w:val="28"/>
        </w:rPr>
        <w:t xml:space="preserve"> годах </w:t>
      </w:r>
      <w:r>
        <w:rPr>
          <w:sz w:val="28"/>
        </w:rPr>
        <w:t xml:space="preserve"> значение  данного показателя планируется на уровне120,6 т.р.</w:t>
      </w:r>
    </w:p>
    <w:p w14:paraId="77000000">
      <w:pPr>
        <w:ind w:firstLine="709"/>
        <w:jc w:val="both"/>
        <w:rPr>
          <w:sz w:val="28"/>
        </w:rPr>
      </w:pPr>
    </w:p>
    <w:p w14:paraId="78000000">
      <w:pPr>
        <w:ind w:firstLine="709"/>
        <w:jc w:val="both"/>
      </w:pPr>
      <w:r>
        <w:rPr>
          <w:b w:val="1"/>
          <w:sz w:val="28"/>
        </w:rPr>
        <w:t>Показатель 19. 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</w:r>
    </w:p>
    <w:p w14:paraId="79000000">
      <w:pPr>
        <w:ind w:firstLine="709"/>
        <w:jc w:val="both"/>
        <w:rPr>
          <w:sz w:val="28"/>
        </w:rPr>
      </w:pPr>
    </w:p>
    <w:p w14:paraId="7A000000">
      <w:pPr>
        <w:spacing w:line="100" w:lineRule="atLeast"/>
        <w:ind w:firstLine="709"/>
        <w:jc w:val="both"/>
      </w:pPr>
      <w:r>
        <w:rPr>
          <w:sz w:val="28"/>
        </w:rPr>
        <w:t>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 в 2018 году значение данного показателя составило 81,12%, в 2019 – 94 %,</w:t>
      </w:r>
      <w:r>
        <w:rPr>
          <w:sz w:val="28"/>
        </w:rPr>
        <w:t xml:space="preserve"> в 2020 году-91%</w:t>
      </w:r>
      <w:r>
        <w:rPr>
          <w:sz w:val="28"/>
        </w:rPr>
        <w:t>.</w:t>
      </w:r>
    </w:p>
    <w:p w14:paraId="7B000000">
      <w:pPr>
        <w:spacing w:line="100" w:lineRule="atLeast"/>
        <w:ind w:firstLine="709"/>
        <w:jc w:val="both"/>
      </w:pPr>
      <w:r>
        <w:rPr>
          <w:sz w:val="28"/>
        </w:rPr>
        <w:t>В 202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-2023</w:t>
      </w:r>
      <w:r>
        <w:rPr>
          <w:sz w:val="28"/>
        </w:rPr>
        <w:t xml:space="preserve">  годах</w:t>
      </w:r>
      <w:r>
        <w:rPr>
          <w:sz w:val="28"/>
        </w:rPr>
        <w:t xml:space="preserve"> планируется сохранить значение данного показателя не ниже 76,5</w:t>
      </w:r>
      <w:r>
        <w:rPr>
          <w:sz w:val="28"/>
        </w:rPr>
        <w:t>%</w:t>
      </w:r>
    </w:p>
    <w:p w14:paraId="7C000000">
      <w:pPr>
        <w:spacing w:line="100" w:lineRule="atLeast"/>
        <w:ind w:firstLine="709"/>
        <w:jc w:val="both"/>
      </w:pPr>
    </w:p>
    <w:p w14:paraId="7D000000">
      <w:pPr>
        <w:spacing w:line="100" w:lineRule="atLeast"/>
        <w:ind w:firstLine="709"/>
        <w:jc w:val="both"/>
        <w:rPr>
          <w:sz w:val="28"/>
        </w:rPr>
      </w:pPr>
    </w:p>
    <w:p w14:paraId="7E000000">
      <w:pPr>
        <w:spacing w:line="100" w:lineRule="atLeast"/>
        <w:ind w:firstLine="690"/>
        <w:jc w:val="center"/>
      </w:pPr>
      <w:r>
        <w:rPr>
          <w:b w:val="1"/>
          <w:sz w:val="28"/>
        </w:rPr>
        <w:t>IV</w:t>
      </w:r>
      <w:r>
        <w:rPr>
          <w:b w:val="1"/>
          <w:sz w:val="28"/>
        </w:rPr>
        <w:t>. Культура</w:t>
      </w:r>
    </w:p>
    <w:p w14:paraId="7F000000">
      <w:pPr>
        <w:spacing w:line="100" w:lineRule="atLeast"/>
        <w:ind w:firstLine="690"/>
        <w:jc w:val="both"/>
      </w:pPr>
    </w:p>
    <w:p w14:paraId="80000000">
      <w:pPr>
        <w:pStyle w:val="Style_3"/>
        <w:spacing w:after="0" w:before="0"/>
        <w:ind w:firstLine="692"/>
        <w:jc w:val="both"/>
      </w:pPr>
      <w:r>
        <w:rPr>
          <w:b w:val="1"/>
          <w:sz w:val="28"/>
        </w:rPr>
        <w:t>Показатель 20. Уровень фактической обеспеченности учреждениями культуры от нормативной потребности.</w:t>
      </w:r>
    </w:p>
    <w:p w14:paraId="81000000">
      <w:pPr>
        <w:pStyle w:val="Style_3"/>
        <w:spacing w:after="0" w:before="0"/>
        <w:ind w:firstLine="692"/>
        <w:jc w:val="both"/>
        <w:rPr>
          <w:sz w:val="28"/>
        </w:rPr>
      </w:pPr>
    </w:p>
    <w:p w14:paraId="82000000">
      <w:pPr>
        <w:ind w:firstLine="709" w:right="-15"/>
        <w:jc w:val="both"/>
      </w:pPr>
      <w:r>
        <w:rPr>
          <w:rFonts w:ascii="Times New Roman" w:hAnsi="Times New Roman"/>
          <w:sz w:val="28"/>
        </w:rPr>
        <w:t>В 201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-20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 годах уровень фактической обеспеченности учреждениями культуры от нормативной потребности клубами и учреждениями клубного типа: 2018 – 100%, 2019 – 100%, 2020 – 100%, 2021 – 100%, 2022 – 100%</w:t>
      </w:r>
      <w:r>
        <w:rPr>
          <w:rFonts w:ascii="Times New Roman" w:hAnsi="Times New Roman"/>
          <w:sz w:val="28"/>
        </w:rPr>
        <w:t>, 2023 – 100%</w:t>
      </w:r>
    </w:p>
    <w:p w14:paraId="83000000">
      <w:pPr>
        <w:ind w:firstLine="709" w:right="-15"/>
        <w:jc w:val="both"/>
      </w:pPr>
      <w:r>
        <w:rPr>
          <w:rFonts w:ascii="Times New Roman" w:hAnsi="Times New Roman"/>
          <w:sz w:val="28"/>
        </w:rPr>
        <w:t>В прогнозном периоде 202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-202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годов ожидается, что данный показатель останется на прежнем уровне.</w:t>
      </w:r>
    </w:p>
    <w:p w14:paraId="84000000">
      <w:pPr>
        <w:ind w:firstLine="709" w:right="-1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 году показатель обеспеченности библиотеками составил </w:t>
      </w:r>
      <w:r>
        <w:rPr>
          <w:rFonts w:ascii="Times New Roman" w:hAnsi="Times New Roman"/>
          <w:sz w:val="28"/>
        </w:rPr>
        <w:t xml:space="preserve">100%, </w:t>
      </w:r>
      <w:r>
        <w:rPr>
          <w:rFonts w:ascii="Times New Roman" w:hAnsi="Times New Roman"/>
          <w:sz w:val="28"/>
        </w:rPr>
        <w:t xml:space="preserve">так как </w:t>
      </w:r>
      <w:r>
        <w:rPr>
          <w:rFonts w:ascii="Times New Roman" w:hAnsi="Times New Roman"/>
          <w:sz w:val="28"/>
        </w:rPr>
        <w:t xml:space="preserve">со </w:t>
      </w:r>
      <w:r>
        <w:rPr>
          <w:rFonts w:ascii="Times New Roman" w:hAnsi="Times New Roman"/>
          <w:sz w:val="28"/>
        </w:rPr>
        <w:t>всту</w:t>
      </w:r>
      <w:r>
        <w:rPr>
          <w:rFonts w:ascii="Times New Roman" w:hAnsi="Times New Roman"/>
          <w:sz w:val="28"/>
        </w:rPr>
        <w:t xml:space="preserve">плением </w:t>
      </w:r>
      <w:r>
        <w:rPr>
          <w:rFonts w:ascii="Times New Roman" w:hAnsi="Times New Roman"/>
          <w:sz w:val="28"/>
        </w:rPr>
        <w:t>в силу областно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закон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«О внесении изменений в Областной закон «О местном самоуправлении в Ростовской области»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организация библиотечного обслуживания населения, комплектование и обеспечение сохранности библиотечных фондов библиотек </w:t>
      </w:r>
      <w:r>
        <w:rPr>
          <w:rFonts w:ascii="Times New Roman" w:hAnsi="Times New Roman"/>
          <w:sz w:val="28"/>
        </w:rPr>
        <w:t xml:space="preserve">сельских </w:t>
      </w:r>
      <w:r>
        <w:rPr>
          <w:rFonts w:ascii="Times New Roman" w:hAnsi="Times New Roman"/>
          <w:sz w:val="28"/>
        </w:rPr>
        <w:t>поселени</w:t>
      </w:r>
      <w:r>
        <w:rPr>
          <w:rFonts w:ascii="Times New Roman" w:hAnsi="Times New Roman"/>
          <w:sz w:val="28"/>
        </w:rPr>
        <w:t xml:space="preserve">й </w:t>
      </w:r>
      <w:r>
        <w:rPr>
          <w:rFonts w:ascii="Times New Roman" w:hAnsi="Times New Roman"/>
          <w:sz w:val="28"/>
        </w:rPr>
        <w:t xml:space="preserve"> исключено</w:t>
      </w:r>
      <w:r>
        <w:rPr>
          <w:rFonts w:ascii="Times New Roman" w:hAnsi="Times New Roman"/>
          <w:sz w:val="28"/>
        </w:rPr>
        <w:t xml:space="preserve"> из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z w:val="28"/>
        </w:rPr>
        <w:t xml:space="preserve"> компетенци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и отнесено к полномочиям муниципального района.</w:t>
      </w:r>
      <w:r>
        <w:rPr>
          <w:rFonts w:ascii="Times New Roman" w:hAnsi="Times New Roman"/>
          <w:sz w:val="28"/>
        </w:rPr>
        <w:t xml:space="preserve"> </w:t>
      </w:r>
    </w:p>
    <w:p w14:paraId="85000000">
      <w:pPr>
        <w:pStyle w:val="Style_3"/>
        <w:spacing w:after="0" w:before="0"/>
        <w:ind w:firstLine="692"/>
        <w:jc w:val="both"/>
        <w:rPr>
          <w:sz w:val="28"/>
        </w:rPr>
      </w:pPr>
      <w:r>
        <w:rPr>
          <w:rFonts w:ascii="Times New Roman" w:hAnsi="Times New Roman"/>
          <w:sz w:val="28"/>
        </w:rPr>
        <w:t>С целью охвата хуторов Песчанокопского района внестационарным библиотечным обслуживанием в 2020 году для МБУК Песчанокопского района «Межпоселенческой центральной библиотеки» был приобретен современный комплекс информационно – библиотечного обслуживания (КИБО). Таким образом, всем жителям Песчанокопского района обеспечен доступ к данной услуге.</w:t>
      </w:r>
      <w:r>
        <w:rPr>
          <w:rFonts w:ascii="Times New Roman" w:hAnsi="Times New Roman"/>
          <w:sz w:val="28"/>
        </w:rPr>
        <w:t xml:space="preserve"> </w:t>
      </w:r>
    </w:p>
    <w:p w14:paraId="86000000">
      <w:pPr>
        <w:pStyle w:val="Style_3"/>
        <w:spacing w:after="0" w:before="0"/>
        <w:ind w:firstLine="692"/>
        <w:jc w:val="both"/>
      </w:pPr>
      <w:r>
        <w:rPr>
          <w:b w:val="1"/>
          <w:sz w:val="28"/>
        </w:rPr>
        <w:t>Показатель 21.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культуры.</w:t>
      </w:r>
    </w:p>
    <w:p w14:paraId="87000000">
      <w:pPr>
        <w:pStyle w:val="Style_3"/>
        <w:spacing w:after="0" w:before="0"/>
        <w:ind w:firstLine="692"/>
        <w:jc w:val="both"/>
      </w:pPr>
    </w:p>
    <w:p w14:paraId="88000000">
      <w:pPr>
        <w:ind w:firstLine="709"/>
        <w:jc w:val="both"/>
      </w:pPr>
      <w:r>
        <w:rPr>
          <w:rFonts w:ascii="Times New Roman" w:hAnsi="Times New Roman"/>
          <w:sz w:val="28"/>
        </w:rPr>
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 в 20</w:t>
      </w:r>
      <w:r>
        <w:rPr>
          <w:rFonts w:ascii="Times New Roman" w:hAnsi="Times New Roman"/>
          <w:sz w:val="28"/>
        </w:rPr>
        <w:t>19</w:t>
      </w:r>
      <w:r>
        <w:rPr>
          <w:rFonts w:ascii="Times New Roman" w:hAnsi="Times New Roman"/>
          <w:sz w:val="28"/>
        </w:rPr>
        <w:t xml:space="preserve"> году – </w:t>
      </w:r>
      <w:r>
        <w:rPr>
          <w:rFonts w:ascii="Times New Roman" w:hAnsi="Times New Roman"/>
          <w:sz w:val="28"/>
        </w:rPr>
        <w:t xml:space="preserve">20 </w:t>
      </w:r>
      <w:r>
        <w:rPr>
          <w:rFonts w:ascii="Times New Roman" w:hAnsi="Times New Roman"/>
          <w:sz w:val="28"/>
        </w:rPr>
        <w:t xml:space="preserve">%.  </w:t>
      </w:r>
    </w:p>
    <w:p w14:paraId="89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 году данный показатель изменился и составил </w:t>
      </w: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 xml:space="preserve"> %, </w:t>
      </w:r>
      <w:r>
        <w:rPr>
          <w:rFonts w:ascii="Times New Roman" w:hAnsi="Times New Roman"/>
          <w:sz w:val="28"/>
        </w:rPr>
        <w:t>в связи с ведением в эксплуатацию МБУК «ДК Жуковского сельского поселения» после капитального ремонта</w:t>
      </w:r>
    </w:p>
    <w:p w14:paraId="8A000000">
      <w:pPr>
        <w:ind w:firstLine="709"/>
        <w:jc w:val="both"/>
      </w:pPr>
      <w:r>
        <w:rPr>
          <w:rFonts w:ascii="Times New Roman" w:hAnsi="Times New Roman"/>
          <w:sz w:val="28"/>
        </w:rPr>
        <w:t>В 202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-202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 годах изменение данного показателя планируется снизить </w:t>
      </w:r>
      <w:r>
        <w:rPr>
          <w:rFonts w:ascii="Times New Roman" w:hAnsi="Times New Roman"/>
          <w:sz w:val="28"/>
        </w:rPr>
        <w:t xml:space="preserve">за чет приобретения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>здания</w:t>
      </w:r>
      <w:r>
        <w:rPr>
          <w:rFonts w:ascii="Times New Roman" w:hAnsi="Times New Roman"/>
          <w:sz w:val="28"/>
        </w:rPr>
        <w:t xml:space="preserve"> модульного дома культуры в Рассыпненском сельском поселении</w:t>
      </w:r>
      <w:r>
        <w:rPr>
          <w:rFonts w:ascii="Times New Roman" w:hAnsi="Times New Roman"/>
          <w:sz w:val="28"/>
        </w:rPr>
        <w:t>.</w:t>
      </w:r>
    </w:p>
    <w:p w14:paraId="8B000000">
      <w:pPr>
        <w:pStyle w:val="Style_4"/>
        <w:ind w:firstLine="851"/>
        <w:jc w:val="both"/>
        <w:rPr>
          <w:rFonts w:ascii="Times New Roman" w:hAnsi="Times New Roman"/>
          <w:sz w:val="28"/>
        </w:rPr>
      </w:pPr>
    </w:p>
    <w:p w14:paraId="8C000000">
      <w:pPr>
        <w:pStyle w:val="Style_3"/>
        <w:spacing w:after="0" w:before="0"/>
        <w:ind w:firstLine="692"/>
        <w:jc w:val="both"/>
      </w:pPr>
      <w:r>
        <w:rPr>
          <w:b w:val="1"/>
          <w:sz w:val="28"/>
        </w:rPr>
        <w:t>Показатель 22. 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собственности.</w:t>
      </w:r>
    </w:p>
    <w:p w14:paraId="8D000000">
      <w:pPr>
        <w:pStyle w:val="Style_3"/>
        <w:spacing w:after="0" w:before="0"/>
        <w:ind w:firstLine="692"/>
        <w:jc w:val="both"/>
        <w:rPr>
          <w:b w:val="1"/>
          <w:sz w:val="28"/>
        </w:rPr>
      </w:pPr>
    </w:p>
    <w:p w14:paraId="8E000000">
      <w:pPr>
        <w:pStyle w:val="Style_3"/>
        <w:spacing w:after="0" w:before="0"/>
        <w:ind w:firstLine="705"/>
        <w:jc w:val="both"/>
        <w:rPr>
          <w:sz w:val="28"/>
        </w:rPr>
      </w:pPr>
      <w:r>
        <w:rPr>
          <w:rFonts w:ascii="Times New Roman" w:hAnsi="Times New Roman"/>
          <w:sz w:val="28"/>
        </w:rPr>
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 составляет 0,00%, так как на территории Песчанокопского района отсутствуют объекты культурного наследия, требующие консервации или реставрации.</w:t>
      </w:r>
    </w:p>
    <w:p w14:paraId="8F000000">
      <w:pPr>
        <w:pStyle w:val="Style_4"/>
        <w:ind w:firstLine="692"/>
        <w:jc w:val="center"/>
      </w:pPr>
      <w:r>
        <w:rPr>
          <w:rFonts w:ascii="Times New Roman" w:hAnsi="Times New Roman"/>
          <w:b w:val="1"/>
          <w:sz w:val="28"/>
        </w:rPr>
        <w:t>V</w:t>
      </w:r>
      <w:r>
        <w:rPr>
          <w:rFonts w:ascii="Times New Roman" w:hAnsi="Times New Roman"/>
          <w:b w:val="1"/>
          <w:sz w:val="28"/>
        </w:rPr>
        <w:t>. Физическая культура и спорт</w:t>
      </w:r>
    </w:p>
    <w:p w14:paraId="90000000">
      <w:pPr>
        <w:pStyle w:val="Style_4"/>
        <w:ind w:firstLine="692"/>
        <w:jc w:val="center"/>
        <w:rPr>
          <w:rFonts w:ascii="Times New Roman" w:hAnsi="Times New Roman"/>
          <w:b w:val="1"/>
          <w:sz w:val="28"/>
        </w:rPr>
      </w:pPr>
    </w:p>
    <w:p w14:paraId="91000000">
      <w:pPr>
        <w:pStyle w:val="Style_3"/>
        <w:spacing w:after="0" w:before="0"/>
        <w:ind w:firstLine="692"/>
        <w:jc w:val="both"/>
      </w:pPr>
      <w:r>
        <w:rPr>
          <w:b w:val="1"/>
          <w:sz w:val="28"/>
        </w:rPr>
        <w:t>Показатель 23.</w:t>
      </w:r>
      <w:r>
        <w:rPr>
          <w:sz w:val="28"/>
        </w:rPr>
        <w:t xml:space="preserve"> </w:t>
      </w:r>
      <w:r>
        <w:rPr>
          <w:b w:val="1"/>
          <w:sz w:val="28"/>
        </w:rPr>
        <w:t>Доля населения, систематически занимающегося физической культурой и спортом.</w:t>
      </w:r>
    </w:p>
    <w:p w14:paraId="92000000">
      <w:pPr>
        <w:pStyle w:val="Style_3"/>
        <w:spacing w:after="0" w:before="0"/>
        <w:ind w:firstLine="692"/>
        <w:jc w:val="both"/>
      </w:pPr>
    </w:p>
    <w:p w14:paraId="93000000">
      <w:pPr>
        <w:spacing w:after="0" w:before="0"/>
        <w:ind w:firstLine="692"/>
        <w:jc w:val="both"/>
      </w:pPr>
      <w:r>
        <w:rPr>
          <w:sz w:val="28"/>
        </w:rPr>
        <w:t xml:space="preserve">Доля населения, систематически занимающегося физической культурой и спортом </w:t>
      </w:r>
      <w:r>
        <w:rPr>
          <w:sz w:val="28"/>
        </w:rPr>
        <w:t xml:space="preserve">в Песчанокопском районе составила в </w:t>
      </w:r>
      <w:r>
        <w:rPr>
          <w:sz w:val="28"/>
        </w:rPr>
        <w:t>201</w:t>
      </w:r>
      <w:r>
        <w:rPr>
          <w:sz w:val="28"/>
        </w:rPr>
        <w:t>8</w:t>
      </w:r>
      <w:r>
        <w:rPr>
          <w:sz w:val="28"/>
        </w:rPr>
        <w:t xml:space="preserve"> году – </w:t>
      </w:r>
      <w:r>
        <w:rPr>
          <w:sz w:val="28"/>
        </w:rPr>
        <w:t>41</w:t>
      </w:r>
      <w:r>
        <w:rPr>
          <w:sz w:val="28"/>
        </w:rPr>
        <w:t>,</w:t>
      </w:r>
      <w:r>
        <w:rPr>
          <w:sz w:val="28"/>
        </w:rPr>
        <w:t>6</w:t>
      </w:r>
      <w:r>
        <w:rPr>
          <w:sz w:val="28"/>
        </w:rPr>
        <w:t>%, в 201</w:t>
      </w:r>
      <w:r>
        <w:rPr>
          <w:sz w:val="28"/>
        </w:rPr>
        <w:t>9</w:t>
      </w:r>
      <w:r>
        <w:rPr>
          <w:sz w:val="28"/>
        </w:rPr>
        <w:t xml:space="preserve"> году – 4</w:t>
      </w:r>
      <w:r>
        <w:rPr>
          <w:sz w:val="28"/>
        </w:rPr>
        <w:t>8</w:t>
      </w:r>
      <w:r>
        <w:rPr>
          <w:sz w:val="28"/>
        </w:rPr>
        <w:t>,</w:t>
      </w:r>
      <w:r>
        <w:rPr>
          <w:sz w:val="28"/>
        </w:rPr>
        <w:t>1</w:t>
      </w:r>
      <w:r>
        <w:rPr>
          <w:sz w:val="28"/>
        </w:rPr>
        <w:t>%, в 20</w:t>
      </w:r>
      <w:r>
        <w:rPr>
          <w:sz w:val="28"/>
        </w:rPr>
        <w:t>20</w:t>
      </w:r>
      <w:r>
        <w:rPr>
          <w:sz w:val="28"/>
        </w:rPr>
        <w:t xml:space="preserve"> году – 4</w:t>
      </w:r>
      <w:r>
        <w:rPr>
          <w:sz w:val="28"/>
        </w:rPr>
        <w:t>9</w:t>
      </w:r>
      <w:r>
        <w:rPr>
          <w:sz w:val="28"/>
        </w:rPr>
        <w:t>,1%</w:t>
      </w:r>
      <w:r>
        <w:rPr>
          <w:sz w:val="28"/>
        </w:rPr>
        <w:t xml:space="preserve">. </w:t>
      </w:r>
    </w:p>
    <w:p w14:paraId="94000000">
      <w:pPr>
        <w:ind w:firstLine="840"/>
        <w:jc w:val="both"/>
      </w:pPr>
      <w:r>
        <w:rPr>
          <w:sz w:val="28"/>
        </w:rPr>
        <w:t>В 20</w:t>
      </w:r>
      <w:r>
        <w:rPr>
          <w:sz w:val="28"/>
        </w:rPr>
        <w:t>20</w:t>
      </w:r>
      <w:r>
        <w:rPr>
          <w:sz w:val="28"/>
        </w:rPr>
        <w:t xml:space="preserve"> году данный показатель увеличился до 4</w:t>
      </w:r>
      <w:r>
        <w:rPr>
          <w:sz w:val="28"/>
        </w:rPr>
        <w:t>9</w:t>
      </w:r>
      <w:r>
        <w:rPr>
          <w:sz w:val="28"/>
        </w:rPr>
        <w:t xml:space="preserve">,1%. По сравнению с прошлым годом возросло количество занимающихся в организациях и предприятиях, в том числе в связи с улучшением материально – технической базы (введение в эксплуатацию </w:t>
      </w:r>
      <w:r>
        <w:rPr>
          <w:sz w:val="28"/>
        </w:rPr>
        <w:t xml:space="preserve">спортивной площадки </w:t>
      </w:r>
      <w:r>
        <w:rPr>
          <w:sz w:val="28"/>
        </w:rPr>
        <w:t>в Развильненском сельском поселении</w:t>
      </w:r>
      <w:r>
        <w:rPr>
          <w:sz w:val="28"/>
        </w:rPr>
        <w:t>), обустройством в сельских поселениях района уличных тренажеров, активной реализацией ВФСК ГТО и увеличением количества проводимых физкультурно – спортивных мероприятий</w:t>
      </w:r>
      <w:r>
        <w:rPr>
          <w:sz w:val="28"/>
        </w:rPr>
        <w:t xml:space="preserve"> по средствам активной пропаганды через СМИ, социальные сети среди всех групп населения пропаганды  к систематическим занятиям физической культурой и спортом</w:t>
      </w:r>
      <w:r>
        <w:rPr>
          <w:sz w:val="28"/>
        </w:rPr>
        <w:t>. Также увеличилась численность систематически занимающихся на отделениях  ДЮСШ Песчанокопского района.</w:t>
      </w:r>
    </w:p>
    <w:p w14:paraId="95000000">
      <w:pPr>
        <w:spacing w:after="0" w:before="0"/>
        <w:ind w:firstLine="692"/>
        <w:jc w:val="both"/>
      </w:pPr>
      <w:r>
        <w:rPr>
          <w:sz w:val="28"/>
        </w:rPr>
        <w:t>В прогнозный период 202</w:t>
      </w:r>
      <w:r>
        <w:rPr>
          <w:sz w:val="28"/>
        </w:rPr>
        <w:t>1</w:t>
      </w:r>
      <w:r>
        <w:rPr>
          <w:sz w:val="28"/>
        </w:rPr>
        <w:t>-202</w:t>
      </w:r>
      <w:r>
        <w:rPr>
          <w:sz w:val="28"/>
        </w:rPr>
        <w:t>3</w:t>
      </w:r>
      <w:r>
        <w:rPr>
          <w:sz w:val="28"/>
        </w:rPr>
        <w:t xml:space="preserve"> годы планируется увеличение занимающихся до 49,4 % за счет введения спортивн</w:t>
      </w:r>
      <w:r>
        <w:rPr>
          <w:sz w:val="28"/>
        </w:rPr>
        <w:t>ых</w:t>
      </w:r>
      <w:r>
        <w:rPr>
          <w:sz w:val="28"/>
        </w:rPr>
        <w:t xml:space="preserve"> площадки для реализации ВФСК ГТО</w:t>
      </w:r>
      <w:r>
        <w:rPr>
          <w:sz w:val="28"/>
        </w:rPr>
        <w:t xml:space="preserve"> в двух сельских поселениях района (Рассыпненское и Жуковское)</w:t>
      </w:r>
      <w:r>
        <w:rPr>
          <w:sz w:val="28"/>
        </w:rPr>
        <w:t>, повышения квалификации тренеров</w:t>
      </w:r>
      <w:r>
        <w:rPr>
          <w:sz w:val="28"/>
        </w:rPr>
        <w:t xml:space="preserve"> -</w:t>
      </w:r>
      <w:r>
        <w:rPr>
          <w:sz w:val="28"/>
        </w:rPr>
        <w:t xml:space="preserve"> преподавателей дополнительного образования Детско-юношеской спортивной школы и Центра внешкольной работы, учителей физкультуры и лиц, занимающихся внеурочной внеклассной деятельностью, а также участия детских и взрослых сборных команд в первенствах Ростовской области по различным видам спорта, увеличения внутрисельских спортивных мероприятий, активизации работы существующих федераций.</w:t>
      </w:r>
    </w:p>
    <w:p w14:paraId="96000000">
      <w:pPr>
        <w:pStyle w:val="Style_5"/>
        <w:spacing w:after="0"/>
        <w:ind w:firstLine="692"/>
        <w:jc w:val="both"/>
      </w:pPr>
    </w:p>
    <w:p w14:paraId="97000000">
      <w:pPr>
        <w:pStyle w:val="Style_5"/>
        <w:spacing w:after="0"/>
        <w:ind w:firstLine="692"/>
        <w:jc w:val="both"/>
        <w:rPr>
          <w:sz w:val="28"/>
        </w:rPr>
      </w:pPr>
    </w:p>
    <w:p w14:paraId="98000000">
      <w:pPr>
        <w:pStyle w:val="Style_5"/>
        <w:spacing w:after="0"/>
        <w:ind w:firstLine="692"/>
        <w:jc w:val="both"/>
      </w:pPr>
      <w:r>
        <w:rPr>
          <w:b w:val="1"/>
          <w:sz w:val="28"/>
        </w:rPr>
        <w:t>Показатель 23.1 Доля обучающихся, систематически занимающихся физической культурой и спортом, в общей численности обучающихся</w:t>
      </w:r>
    </w:p>
    <w:p w14:paraId="99000000">
      <w:pPr>
        <w:pStyle w:val="Style_5"/>
        <w:spacing w:after="0"/>
        <w:ind w:firstLine="692"/>
        <w:jc w:val="both"/>
        <w:rPr>
          <w:sz w:val="28"/>
        </w:rPr>
      </w:pPr>
    </w:p>
    <w:p w14:paraId="9A000000">
      <w:pPr>
        <w:spacing w:after="0" w:before="0"/>
        <w:ind w:firstLine="692"/>
        <w:jc w:val="both"/>
      </w:pPr>
      <w:r>
        <w:rPr>
          <w:sz w:val="28"/>
        </w:rPr>
        <w:t>Доля обучающихся, систематически занимающихся физической культурой и спортом, в общей численности обучающихся в 201</w:t>
      </w:r>
      <w:r>
        <w:rPr>
          <w:sz w:val="28"/>
        </w:rPr>
        <w:t>8</w:t>
      </w:r>
      <w:r>
        <w:rPr>
          <w:sz w:val="28"/>
        </w:rPr>
        <w:t xml:space="preserve"> году – 8</w:t>
      </w:r>
      <w:r>
        <w:rPr>
          <w:sz w:val="28"/>
        </w:rPr>
        <w:t>5</w:t>
      </w:r>
      <w:r>
        <w:rPr>
          <w:sz w:val="28"/>
        </w:rPr>
        <w:t>,</w:t>
      </w:r>
      <w:r>
        <w:rPr>
          <w:sz w:val="28"/>
        </w:rPr>
        <w:t>7</w:t>
      </w:r>
      <w:r>
        <w:rPr>
          <w:sz w:val="28"/>
        </w:rPr>
        <w:t>%, в 201</w:t>
      </w:r>
      <w:r>
        <w:rPr>
          <w:sz w:val="28"/>
        </w:rPr>
        <w:t>9</w:t>
      </w:r>
      <w:r>
        <w:rPr>
          <w:sz w:val="28"/>
        </w:rPr>
        <w:t xml:space="preserve"> году – </w:t>
      </w:r>
      <w:r>
        <w:rPr>
          <w:sz w:val="28"/>
        </w:rPr>
        <w:t>96</w:t>
      </w:r>
      <w:r>
        <w:rPr>
          <w:sz w:val="28"/>
        </w:rPr>
        <w:t>,</w:t>
      </w:r>
      <w:r>
        <w:rPr>
          <w:sz w:val="28"/>
        </w:rPr>
        <w:t>3</w:t>
      </w:r>
      <w:r>
        <w:rPr>
          <w:sz w:val="28"/>
        </w:rPr>
        <w:t>%, в 20</w:t>
      </w:r>
      <w:r>
        <w:rPr>
          <w:sz w:val="28"/>
        </w:rPr>
        <w:t>20</w:t>
      </w:r>
      <w:r>
        <w:rPr>
          <w:sz w:val="28"/>
        </w:rPr>
        <w:t xml:space="preserve"> году – 9</w:t>
      </w:r>
      <w:r>
        <w:rPr>
          <w:sz w:val="28"/>
        </w:rPr>
        <w:t>5</w:t>
      </w:r>
      <w:r>
        <w:rPr>
          <w:sz w:val="28"/>
        </w:rPr>
        <w:t xml:space="preserve">,3%. Этот показатель </w:t>
      </w:r>
      <w:r>
        <w:rPr>
          <w:sz w:val="28"/>
        </w:rPr>
        <w:t>снизился</w:t>
      </w:r>
      <w:r>
        <w:rPr>
          <w:sz w:val="28"/>
        </w:rPr>
        <w:t xml:space="preserve"> на </w:t>
      </w:r>
      <w:r>
        <w:rPr>
          <w:sz w:val="28"/>
        </w:rPr>
        <w:t>1</w:t>
      </w:r>
      <w:r>
        <w:rPr>
          <w:sz w:val="28"/>
        </w:rPr>
        <w:t xml:space="preserve"> % </w:t>
      </w:r>
      <w:r>
        <w:rPr>
          <w:sz w:val="28"/>
        </w:rPr>
        <w:t>в связи с</w:t>
      </w:r>
      <w:r>
        <w:rPr>
          <w:sz w:val="28"/>
        </w:rPr>
        <w:t xml:space="preserve"> </w:t>
      </w:r>
      <w:r>
        <w:rPr>
          <w:sz w:val="28"/>
        </w:rPr>
        <w:t>уменьшени</w:t>
      </w:r>
      <w:r>
        <w:rPr>
          <w:sz w:val="28"/>
        </w:rPr>
        <w:t>ем</w:t>
      </w:r>
      <w:r>
        <w:rPr>
          <w:sz w:val="28"/>
        </w:rPr>
        <w:t xml:space="preserve"> количества запланированных мероприятий </w:t>
      </w:r>
      <w:r>
        <w:rPr>
          <w:sz w:val="28"/>
        </w:rPr>
        <w:t xml:space="preserve">в условиях </w:t>
      </w:r>
      <w:r>
        <w:rPr>
          <w:sz w:val="28"/>
        </w:rPr>
        <w:t>распространени</w:t>
      </w:r>
      <w:r>
        <w:rPr>
          <w:sz w:val="28"/>
        </w:rPr>
        <w:t>я</w:t>
      </w:r>
      <w:r>
        <w:rPr>
          <w:sz w:val="28"/>
        </w:rPr>
        <w:t xml:space="preserve"> новой коронавирусной инфекцией </w:t>
      </w:r>
      <w:r>
        <w:rPr>
          <w:sz w:val="28"/>
        </w:rPr>
        <w:t>COVID</w:t>
      </w:r>
      <w:r>
        <w:rPr>
          <w:sz w:val="28"/>
        </w:rPr>
        <w:t xml:space="preserve"> – 19. </w:t>
      </w:r>
    </w:p>
    <w:p w14:paraId="9B000000">
      <w:pPr>
        <w:spacing w:after="0" w:before="0"/>
        <w:ind w:firstLine="692"/>
        <w:jc w:val="both"/>
      </w:pPr>
      <w:r>
        <w:rPr>
          <w:sz w:val="28"/>
        </w:rPr>
        <w:t>В прогнозном периоде 202</w:t>
      </w:r>
      <w:r>
        <w:rPr>
          <w:sz w:val="28"/>
        </w:rPr>
        <w:t>1</w:t>
      </w:r>
      <w:r>
        <w:rPr>
          <w:sz w:val="28"/>
        </w:rPr>
        <w:t xml:space="preserve"> – 202</w:t>
      </w:r>
      <w:r>
        <w:rPr>
          <w:sz w:val="28"/>
        </w:rPr>
        <w:t>3</w:t>
      </w:r>
      <w:r>
        <w:rPr>
          <w:sz w:val="28"/>
        </w:rPr>
        <w:t xml:space="preserve"> годах планируется удержать достигнутый показатель</w:t>
      </w:r>
      <w:r>
        <w:rPr>
          <w:sz w:val="28"/>
        </w:rPr>
        <w:t xml:space="preserve"> за счет популяризации</w:t>
      </w:r>
      <w:r>
        <w:rPr>
          <w:sz w:val="28"/>
        </w:rPr>
        <w:t xml:space="preserve"> ВФСК ГТО, реализации проектов «Всеобуч по шахматам» и «Всеобуч по плаванию», увеличения количества проводимых мероприятий среди обучающихся образовательных организаций.</w:t>
      </w:r>
    </w:p>
    <w:p w14:paraId="9C000000">
      <w:pPr>
        <w:pStyle w:val="Style_3"/>
        <w:spacing w:after="0" w:before="0"/>
        <w:ind w:firstLine="692"/>
        <w:jc w:val="both"/>
        <w:rPr>
          <w:sz w:val="28"/>
        </w:rPr>
      </w:pPr>
    </w:p>
    <w:p w14:paraId="9D000000">
      <w:pPr>
        <w:numPr>
          <w:ilvl w:val="3"/>
          <w:numId w:val="1"/>
        </w:numPr>
        <w:spacing w:line="0" w:lineRule="atLeast"/>
        <w:ind w:firstLine="690" w:left="0"/>
        <w:jc w:val="center"/>
      </w:pPr>
      <w:r>
        <w:rPr>
          <w:b w:val="1"/>
          <w:sz w:val="28"/>
        </w:rPr>
        <w:t>Жилищное строительство и обеспечение граждан жильем</w:t>
      </w:r>
    </w:p>
    <w:p w14:paraId="9E000000">
      <w:pPr>
        <w:spacing w:line="0" w:lineRule="atLeast"/>
        <w:ind w:firstLine="690"/>
        <w:jc w:val="both"/>
        <w:rPr>
          <w:sz w:val="28"/>
        </w:rPr>
      </w:pPr>
    </w:p>
    <w:p w14:paraId="9F000000">
      <w:pPr>
        <w:pStyle w:val="Style_6"/>
        <w:tabs>
          <w:tab w:leader="none" w:pos="4536" w:val="clear"/>
          <w:tab w:leader="none" w:pos="9072" w:val="clear"/>
        </w:tabs>
        <w:ind w:firstLine="709"/>
        <w:jc w:val="both"/>
      </w:pPr>
      <w:r>
        <w:rPr>
          <w:b w:val="1"/>
          <w:sz w:val="28"/>
        </w:rPr>
        <w:t>Показатель 24. Общая площадь жилых помещений, приходящихся в среднем на одного жителя.</w:t>
      </w:r>
    </w:p>
    <w:p w14:paraId="A0000000">
      <w:pPr>
        <w:tabs>
          <w:tab w:leader="none" w:pos="26965" w:val="left"/>
        </w:tabs>
        <w:ind w:firstLine="548" w:left="19"/>
        <w:jc w:val="both"/>
      </w:pPr>
      <w:r>
        <w:rPr>
          <w:sz w:val="28"/>
        </w:rPr>
        <w:t>Общая площадь жилых помещений, приходящаяся в среднем на одного жителя, составила в 201</w:t>
      </w:r>
      <w:r>
        <w:rPr>
          <w:sz w:val="28"/>
        </w:rPr>
        <w:t>8</w:t>
      </w:r>
      <w:r>
        <w:rPr>
          <w:sz w:val="28"/>
        </w:rPr>
        <w:t xml:space="preserve"> году – </w:t>
      </w:r>
      <w:r>
        <w:rPr>
          <w:sz w:val="28"/>
        </w:rPr>
        <w:t>35,43</w:t>
      </w:r>
      <w:r>
        <w:rPr>
          <w:sz w:val="28"/>
        </w:rPr>
        <w:t xml:space="preserve"> кв.м., в 201</w:t>
      </w:r>
      <w:r>
        <w:rPr>
          <w:sz w:val="28"/>
        </w:rPr>
        <w:t>9</w:t>
      </w:r>
      <w:r>
        <w:rPr>
          <w:sz w:val="28"/>
        </w:rPr>
        <w:t xml:space="preserve"> году – </w:t>
      </w:r>
      <w:r>
        <w:rPr>
          <w:sz w:val="28"/>
        </w:rPr>
        <w:t>36,43</w:t>
      </w:r>
      <w:r>
        <w:rPr>
          <w:sz w:val="28"/>
        </w:rPr>
        <w:t xml:space="preserve"> кв.м., в 20</w:t>
      </w:r>
      <w:r>
        <w:rPr>
          <w:sz w:val="28"/>
        </w:rPr>
        <w:t>20</w:t>
      </w:r>
      <w:r>
        <w:rPr>
          <w:sz w:val="28"/>
        </w:rPr>
        <w:t xml:space="preserve"> году – 36,</w:t>
      </w:r>
      <w:r>
        <w:rPr>
          <w:sz w:val="28"/>
        </w:rPr>
        <w:t>51</w:t>
      </w:r>
      <w:r>
        <w:rPr>
          <w:sz w:val="28"/>
        </w:rPr>
        <w:t xml:space="preserve"> кв.м. Показатель за 20</w:t>
      </w:r>
      <w:r>
        <w:rPr>
          <w:sz w:val="28"/>
        </w:rPr>
        <w:t>20</w:t>
      </w:r>
      <w:r>
        <w:rPr>
          <w:sz w:val="28"/>
        </w:rPr>
        <w:t xml:space="preserve"> год увеличился на 0,</w:t>
      </w:r>
      <w:r>
        <w:rPr>
          <w:sz w:val="28"/>
        </w:rPr>
        <w:t>08</w:t>
      </w:r>
      <w:r>
        <w:rPr>
          <w:sz w:val="28"/>
        </w:rPr>
        <w:t xml:space="preserve"> кв.м. за счет уменьшения постоянной численности населения и увеличения общей площади жилых помещений на территории района. </w:t>
      </w:r>
    </w:p>
    <w:p w14:paraId="A1000000">
      <w:pPr>
        <w:tabs>
          <w:tab w:leader="none" w:pos="26965" w:val="left"/>
        </w:tabs>
        <w:ind w:firstLine="548" w:left="19"/>
        <w:jc w:val="both"/>
      </w:pPr>
      <w:r>
        <w:rPr>
          <w:sz w:val="28"/>
        </w:rPr>
        <w:t xml:space="preserve">Введенная в действие за один год в расчете на </w:t>
      </w:r>
      <w:r>
        <w:rPr>
          <w:sz w:val="28"/>
        </w:rPr>
        <w:t>одного человека составила в 2018</w:t>
      </w:r>
      <w:r>
        <w:rPr>
          <w:sz w:val="28"/>
        </w:rPr>
        <w:t xml:space="preserve"> году – 0,2</w:t>
      </w:r>
      <w:r>
        <w:rPr>
          <w:sz w:val="28"/>
        </w:rPr>
        <w:t>9</w:t>
      </w:r>
      <w:r>
        <w:rPr>
          <w:sz w:val="28"/>
        </w:rPr>
        <w:t xml:space="preserve"> кв.м., в 201</w:t>
      </w:r>
      <w:r>
        <w:rPr>
          <w:sz w:val="28"/>
        </w:rPr>
        <w:t>9</w:t>
      </w:r>
      <w:r>
        <w:rPr>
          <w:sz w:val="28"/>
        </w:rPr>
        <w:t xml:space="preserve"> году – 0,2</w:t>
      </w:r>
      <w:r>
        <w:rPr>
          <w:sz w:val="28"/>
        </w:rPr>
        <w:t>4</w:t>
      </w:r>
      <w:r>
        <w:rPr>
          <w:sz w:val="28"/>
        </w:rPr>
        <w:t xml:space="preserve"> кв.м., в 20</w:t>
      </w:r>
      <w:r>
        <w:rPr>
          <w:sz w:val="28"/>
        </w:rPr>
        <w:t>20</w:t>
      </w:r>
      <w:r>
        <w:rPr>
          <w:sz w:val="28"/>
        </w:rPr>
        <w:t xml:space="preserve"> году – 0,</w:t>
      </w:r>
      <w:r>
        <w:rPr>
          <w:sz w:val="28"/>
        </w:rPr>
        <w:t>17</w:t>
      </w:r>
      <w:r>
        <w:rPr>
          <w:sz w:val="28"/>
        </w:rPr>
        <w:t xml:space="preserve"> кв.м.  Снижение данного показателя произошло в связи с уменьшением объема введенного жилья за год.</w:t>
      </w:r>
    </w:p>
    <w:p w14:paraId="A2000000">
      <w:pPr>
        <w:tabs>
          <w:tab w:leader="none" w:pos="26965" w:val="left"/>
        </w:tabs>
        <w:ind w:firstLine="548" w:left="19"/>
        <w:jc w:val="both"/>
      </w:pPr>
      <w:r>
        <w:rPr>
          <w:sz w:val="28"/>
        </w:rPr>
        <w:t>С учетом уменьшения объема ввода жилья в 20</w:t>
      </w:r>
      <w:r>
        <w:rPr>
          <w:sz w:val="28"/>
        </w:rPr>
        <w:t>20</w:t>
      </w:r>
      <w:r>
        <w:rPr>
          <w:sz w:val="28"/>
        </w:rPr>
        <w:t xml:space="preserve"> году, прогнозный план на 202</w:t>
      </w:r>
      <w:r>
        <w:rPr>
          <w:sz w:val="28"/>
        </w:rPr>
        <w:t>1</w:t>
      </w:r>
      <w:r>
        <w:rPr>
          <w:sz w:val="28"/>
        </w:rPr>
        <w:t>-202</w:t>
      </w:r>
      <w:r>
        <w:rPr>
          <w:sz w:val="28"/>
        </w:rPr>
        <w:t>3</w:t>
      </w:r>
      <w:r>
        <w:rPr>
          <w:sz w:val="28"/>
        </w:rPr>
        <w:t xml:space="preserve"> годы по указанным показателям планируется оставить на уровне 20</w:t>
      </w:r>
      <w:r>
        <w:rPr>
          <w:sz w:val="28"/>
        </w:rPr>
        <w:t>20</w:t>
      </w:r>
      <w:r>
        <w:rPr>
          <w:sz w:val="28"/>
        </w:rPr>
        <w:t xml:space="preserve"> года, то есть - 36,</w:t>
      </w:r>
      <w:r>
        <w:rPr>
          <w:sz w:val="28"/>
        </w:rPr>
        <w:t>51</w:t>
      </w:r>
      <w:r>
        <w:rPr>
          <w:sz w:val="28"/>
        </w:rPr>
        <w:t xml:space="preserve"> кв.м. и 0,</w:t>
      </w:r>
      <w:r>
        <w:rPr>
          <w:sz w:val="28"/>
        </w:rPr>
        <w:t>17</w:t>
      </w:r>
      <w:r>
        <w:rPr>
          <w:sz w:val="28"/>
        </w:rPr>
        <w:t xml:space="preserve"> кв.м. соответственно.</w:t>
      </w:r>
      <w:r>
        <w:rPr>
          <w:sz w:val="28"/>
        </w:rPr>
        <w:t xml:space="preserve"> </w:t>
      </w:r>
    </w:p>
    <w:p w14:paraId="A3000000">
      <w:pPr>
        <w:pStyle w:val="Style_6"/>
        <w:tabs>
          <w:tab w:leader="none" w:pos="4536" w:val="clear"/>
          <w:tab w:leader="none" w:pos="9072" w:val="clear"/>
        </w:tabs>
        <w:ind/>
        <w:jc w:val="both"/>
        <w:rPr>
          <w:b w:val="1"/>
          <w:sz w:val="28"/>
        </w:rPr>
      </w:pPr>
    </w:p>
    <w:p w14:paraId="A4000000">
      <w:pPr>
        <w:ind w:firstLine="709"/>
        <w:jc w:val="both"/>
      </w:pPr>
      <w:r>
        <w:rPr>
          <w:b w:val="1"/>
          <w:sz w:val="28"/>
        </w:rPr>
        <w:t>Показатель 25. Площадь земельных участков, предоставленных для строительства в расчете на 10 тыс. человек населения,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строительства.</w:t>
      </w:r>
    </w:p>
    <w:p w14:paraId="A5000000">
      <w:pPr>
        <w:ind/>
        <w:jc w:val="both"/>
        <w:rPr>
          <w:b w:val="1"/>
          <w:sz w:val="28"/>
        </w:rPr>
      </w:pPr>
    </w:p>
    <w:p w14:paraId="A6000000">
      <w:pPr>
        <w:ind w:firstLine="709"/>
        <w:jc w:val="both"/>
        <w:rPr>
          <w:sz w:val="28"/>
        </w:rPr>
      </w:pPr>
      <w:r>
        <w:rPr>
          <w:sz w:val="28"/>
        </w:rPr>
        <w:t>На территории муниципального района за 20</w:t>
      </w:r>
      <w:r>
        <w:rPr>
          <w:sz w:val="28"/>
        </w:rPr>
        <w:t>20</w:t>
      </w:r>
      <w:r>
        <w:rPr>
          <w:sz w:val="28"/>
        </w:rPr>
        <w:t xml:space="preserve"> год предоставлено всего земельных участков под строительство </w:t>
      </w:r>
      <w:r>
        <w:rPr>
          <w:sz w:val="28"/>
        </w:rPr>
        <w:t>2,</w:t>
      </w:r>
      <w:r>
        <w:rPr>
          <w:sz w:val="28"/>
        </w:rPr>
        <w:t>13</w:t>
      </w:r>
      <w:r>
        <w:rPr>
          <w:sz w:val="28"/>
        </w:rPr>
        <w:t xml:space="preserve"> га</w:t>
      </w:r>
      <w:r>
        <w:rPr>
          <w:sz w:val="28"/>
        </w:rPr>
        <w:t xml:space="preserve"> (в расчете на 10 тыс. человек населения – 0,</w:t>
      </w:r>
      <w:r>
        <w:rPr>
          <w:sz w:val="28"/>
        </w:rPr>
        <w:t>82</w:t>
      </w:r>
      <w:r>
        <w:rPr>
          <w:sz w:val="28"/>
        </w:rPr>
        <w:t xml:space="preserve"> га)</w:t>
      </w:r>
      <w:r>
        <w:rPr>
          <w:sz w:val="28"/>
        </w:rPr>
        <w:t>, в том числе для индивидуального жилищного строительства 0,</w:t>
      </w:r>
      <w:r>
        <w:rPr>
          <w:sz w:val="28"/>
        </w:rPr>
        <w:t>0</w:t>
      </w:r>
      <w:r>
        <w:rPr>
          <w:sz w:val="28"/>
        </w:rPr>
        <w:t>9</w:t>
      </w:r>
      <w:r>
        <w:rPr>
          <w:sz w:val="28"/>
        </w:rPr>
        <w:t xml:space="preserve"> </w:t>
      </w:r>
      <w:r>
        <w:rPr>
          <w:sz w:val="28"/>
        </w:rPr>
        <w:t>га (в расчете на 10 тыс. человек населения – 0,</w:t>
      </w:r>
      <w:r>
        <w:rPr>
          <w:sz w:val="28"/>
        </w:rPr>
        <w:t>03</w:t>
      </w:r>
      <w:r>
        <w:rPr>
          <w:sz w:val="28"/>
        </w:rPr>
        <w:t xml:space="preserve"> га)</w:t>
      </w:r>
      <w:r>
        <w:rPr>
          <w:sz w:val="28"/>
        </w:rPr>
        <w:t>.</w:t>
      </w:r>
    </w:p>
    <w:p w14:paraId="A7000000">
      <w:pPr>
        <w:ind w:firstLine="709"/>
        <w:jc w:val="both"/>
      </w:pPr>
      <w:r>
        <w:rPr>
          <w:sz w:val="28"/>
        </w:rPr>
        <w:t>П</w:t>
      </w:r>
      <w:r>
        <w:rPr>
          <w:sz w:val="28"/>
        </w:rPr>
        <w:t>рогнозный план на 202</w:t>
      </w:r>
      <w:r>
        <w:rPr>
          <w:sz w:val="28"/>
        </w:rPr>
        <w:t>1</w:t>
      </w:r>
      <w:r>
        <w:rPr>
          <w:sz w:val="28"/>
        </w:rPr>
        <w:t>-202</w:t>
      </w:r>
      <w:r>
        <w:rPr>
          <w:sz w:val="28"/>
        </w:rPr>
        <w:t>3</w:t>
      </w:r>
      <w:r>
        <w:rPr>
          <w:sz w:val="28"/>
        </w:rPr>
        <w:t xml:space="preserve"> годы по указанным показателям планируется оставить на уровне 2020 года</w:t>
      </w:r>
      <w:r>
        <w:rPr>
          <w:sz w:val="28"/>
        </w:rPr>
        <w:t>.</w:t>
      </w:r>
    </w:p>
    <w:p w14:paraId="A8000000">
      <w:pPr>
        <w:ind w:firstLine="709"/>
        <w:jc w:val="both"/>
      </w:pPr>
      <w:r>
        <w:rPr>
          <w:sz w:val="28"/>
          <w:highlight w:val="white"/>
        </w:rPr>
        <w:t xml:space="preserve"> </w:t>
      </w:r>
    </w:p>
    <w:p w14:paraId="A9000000">
      <w:pPr>
        <w:ind w:firstLine="709"/>
        <w:jc w:val="both"/>
        <w:rPr>
          <w:sz w:val="28"/>
        </w:rPr>
      </w:pPr>
    </w:p>
    <w:p w14:paraId="AA000000">
      <w:pPr>
        <w:pStyle w:val="Style_6"/>
        <w:tabs>
          <w:tab w:leader="none" w:pos="4536" w:val="clear"/>
          <w:tab w:leader="none" w:pos="9072" w:val="clear"/>
        </w:tabs>
        <w:ind w:firstLine="709"/>
        <w:jc w:val="both"/>
      </w:pPr>
      <w:r>
        <w:rPr>
          <w:b w:val="1"/>
          <w:sz w:val="28"/>
        </w:rPr>
        <w:t>Показатель 26. 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</w:t>
      </w:r>
      <w:r>
        <w:rPr>
          <w:sz w:val="28"/>
        </w:rPr>
        <w:t>.</w:t>
      </w:r>
    </w:p>
    <w:p w14:paraId="AB000000">
      <w:pPr>
        <w:pStyle w:val="Style_6"/>
        <w:tabs>
          <w:tab w:leader="none" w:pos="4536" w:val="clear"/>
          <w:tab w:leader="none" w:pos="9072" w:val="clear"/>
        </w:tabs>
        <w:ind/>
        <w:jc w:val="both"/>
      </w:pPr>
    </w:p>
    <w:p w14:paraId="AC000000">
      <w:pPr>
        <w:tabs>
          <w:tab w:leader="none" w:pos="4536" w:val="clear"/>
          <w:tab w:leader="none" w:pos="9072" w:val="clear"/>
        </w:tabs>
        <w:ind w:firstLine="690"/>
        <w:jc w:val="both"/>
      </w:pPr>
      <w:r>
        <w:rPr>
          <w:sz w:val="28"/>
        </w:rPr>
        <w:t xml:space="preserve">При расчете показателя учитываются земельные участки, по которым выдано разрешение на строительство и срок введения объекта, по которому истек. По состоянию на </w:t>
      </w:r>
      <w:r>
        <w:rPr>
          <w:sz w:val="28"/>
        </w:rPr>
        <w:t xml:space="preserve">31.12.2020 </w:t>
      </w:r>
      <w:r>
        <w:rPr>
          <w:sz w:val="28"/>
        </w:rPr>
        <w:t xml:space="preserve">г. такие земельные участки на территории Песчанокопского района отсутствуют. </w:t>
      </w:r>
    </w:p>
    <w:p w14:paraId="AD000000">
      <w:pPr>
        <w:widowControl w:val="0"/>
        <w:ind w:firstLine="690"/>
        <w:jc w:val="both"/>
        <w:rPr>
          <w:sz w:val="28"/>
        </w:rPr>
      </w:pPr>
      <w:r>
        <w:rPr>
          <w:sz w:val="28"/>
        </w:rPr>
        <w:t>В 202</w:t>
      </w:r>
      <w:r>
        <w:rPr>
          <w:sz w:val="28"/>
        </w:rPr>
        <w:t>1</w:t>
      </w:r>
      <w:r>
        <w:rPr>
          <w:sz w:val="28"/>
        </w:rPr>
        <w:t>-202</w:t>
      </w:r>
      <w:r>
        <w:rPr>
          <w:sz w:val="28"/>
        </w:rPr>
        <w:t>3</w:t>
      </w:r>
      <w:r>
        <w:rPr>
          <w:sz w:val="28"/>
        </w:rPr>
        <w:t xml:space="preserve"> годах изменение данного показателя не планируется.</w:t>
      </w:r>
    </w:p>
    <w:p w14:paraId="AE000000">
      <w:pPr>
        <w:pStyle w:val="Style_6"/>
        <w:tabs>
          <w:tab w:leader="none" w:pos="4536" w:val="clear"/>
          <w:tab w:leader="none" w:pos="9072" w:val="clear"/>
        </w:tabs>
        <w:ind w:firstLine="690"/>
        <w:jc w:val="center"/>
      </w:pPr>
      <w:r>
        <w:rPr>
          <w:b w:val="1"/>
          <w:sz w:val="28"/>
        </w:rPr>
        <w:t>VII</w:t>
      </w:r>
      <w:r>
        <w:rPr>
          <w:b w:val="1"/>
          <w:sz w:val="28"/>
        </w:rPr>
        <w:t>. Жилищно-коммунальное хозяйство</w:t>
      </w:r>
    </w:p>
    <w:p w14:paraId="AF000000">
      <w:pPr>
        <w:pStyle w:val="Style_6"/>
        <w:tabs>
          <w:tab w:leader="none" w:pos="4536" w:val="clear"/>
          <w:tab w:leader="none" w:pos="9072" w:val="clear"/>
        </w:tabs>
        <w:ind w:firstLine="690"/>
        <w:jc w:val="center"/>
        <w:rPr>
          <w:sz w:val="28"/>
        </w:rPr>
      </w:pPr>
    </w:p>
    <w:p w14:paraId="B0000000">
      <w:pPr>
        <w:tabs>
          <w:tab w:leader="none" w:pos="1440" w:val="left"/>
        </w:tabs>
        <w:ind w:firstLine="709"/>
        <w:jc w:val="both"/>
      </w:pPr>
      <w:r>
        <w:rPr>
          <w:b w:val="1"/>
          <w:sz w:val="28"/>
        </w:rPr>
        <w:t>Показатель 27. Доля многоквартирных домов, в которых собственники помещений выбрали и реализуют один из способов управления многоквартирными домами.</w:t>
      </w:r>
    </w:p>
    <w:p w14:paraId="B1000000">
      <w:pPr>
        <w:tabs>
          <w:tab w:leader="none" w:pos="1440" w:val="left"/>
        </w:tabs>
        <w:ind/>
        <w:jc w:val="both"/>
        <w:rPr>
          <w:b w:val="1"/>
          <w:sz w:val="28"/>
        </w:rPr>
      </w:pPr>
    </w:p>
    <w:p w14:paraId="B2000000">
      <w:pPr>
        <w:ind w:firstLine="709"/>
        <w:jc w:val="both"/>
      </w:pPr>
      <w:r>
        <w:rPr>
          <w:sz w:val="28"/>
        </w:rPr>
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</w:t>
      </w:r>
      <w:r>
        <w:rPr>
          <w:sz w:val="28"/>
        </w:rPr>
        <w:t xml:space="preserve"> данными домами составила в 2018 году – 100,00 %, в 2019 году – 100,00 %, в 2020</w:t>
      </w:r>
      <w:r>
        <w:rPr>
          <w:sz w:val="28"/>
        </w:rPr>
        <w:t xml:space="preserve"> году – 100,00 %.</w:t>
      </w:r>
    </w:p>
    <w:p w14:paraId="B3000000">
      <w:pPr>
        <w:ind w:firstLine="709"/>
        <w:jc w:val="both"/>
      </w:pPr>
      <w:r>
        <w:rPr>
          <w:sz w:val="28"/>
        </w:rPr>
        <w:t>Доля многоквартирных жилых домов, в которых собственники помещений выбрали и реализуют один из способов управления многоквартирными домами отражает факти</w:t>
      </w:r>
      <w:r>
        <w:rPr>
          <w:sz w:val="28"/>
        </w:rPr>
        <w:t>ческие показатели по итогам 2020</w:t>
      </w:r>
      <w:r>
        <w:rPr>
          <w:sz w:val="28"/>
        </w:rPr>
        <w:t xml:space="preserve"> года и составляет 100 %. В соответствии с Жилищным кодексом РФ собственники, проживающие в многоквартирных домах обязаны определиться со способом управления. На территории Песчанокопского района по всем, без исключения, многоквартирным домам способ управления выбран и реализуется.</w:t>
      </w:r>
    </w:p>
    <w:p w14:paraId="B4000000">
      <w:pPr>
        <w:ind w:firstLine="709"/>
        <w:jc w:val="both"/>
      </w:pPr>
      <w:r>
        <w:rPr>
          <w:sz w:val="28"/>
        </w:rPr>
        <w:t>Прогнозируемые показатели на 20</w:t>
      </w:r>
      <w:r>
        <w:rPr>
          <w:sz w:val="28"/>
        </w:rPr>
        <w:t>21</w:t>
      </w:r>
      <w:r>
        <w:rPr>
          <w:sz w:val="28"/>
        </w:rPr>
        <w:t>-202</w:t>
      </w:r>
      <w:r>
        <w:rPr>
          <w:sz w:val="28"/>
        </w:rPr>
        <w:t>3</w:t>
      </w:r>
      <w:r>
        <w:rPr>
          <w:sz w:val="28"/>
        </w:rPr>
        <w:t xml:space="preserve"> годы учитывают выбор способа управления по 100 % многоквартирных жилых домов Песчанокопского района. </w:t>
      </w:r>
    </w:p>
    <w:p w14:paraId="B5000000">
      <w:pPr>
        <w:ind w:firstLine="709"/>
        <w:jc w:val="both"/>
        <w:rPr>
          <w:b w:val="1"/>
          <w:sz w:val="28"/>
        </w:rPr>
      </w:pPr>
    </w:p>
    <w:p w14:paraId="B6000000">
      <w:pPr>
        <w:pStyle w:val="Style_7"/>
        <w:tabs>
          <w:tab w:leader="none" w:pos="1440" w:val="left"/>
        </w:tabs>
        <w:ind w:firstLine="709"/>
      </w:pPr>
      <w:r>
        <w:rPr>
          <w:sz w:val="28"/>
          <w:highlight w:val="white"/>
        </w:rPr>
        <w:t>Показатель 28. 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</w:r>
      <w:r>
        <w:rPr>
          <w:b w:val="0"/>
          <w:sz w:val="28"/>
          <w:highlight w:val="white"/>
        </w:rPr>
        <w:t>.</w:t>
      </w:r>
    </w:p>
    <w:p w14:paraId="B7000000">
      <w:pPr>
        <w:pStyle w:val="Style_7"/>
        <w:tabs>
          <w:tab w:leader="none" w:pos="1440" w:val="left"/>
        </w:tabs>
        <w:ind w:firstLine="709"/>
        <w:rPr>
          <w:sz w:val="28"/>
        </w:rPr>
      </w:pPr>
    </w:p>
    <w:p w14:paraId="B8000000">
      <w:pPr>
        <w:ind w:firstLine="709"/>
        <w:jc w:val="both"/>
      </w:pPr>
      <w:r>
        <w:rPr>
          <w:sz w:val="28"/>
        </w:rPr>
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 составила в 201</w:t>
      </w:r>
      <w:r>
        <w:rPr>
          <w:sz w:val="28"/>
        </w:rPr>
        <w:t>8 году – 25,00 %, в 2019 году – 25,00 %, в 2020</w:t>
      </w:r>
      <w:r>
        <w:rPr>
          <w:sz w:val="28"/>
        </w:rPr>
        <w:t xml:space="preserve"> году – 25,00 %.</w:t>
      </w:r>
    </w:p>
    <w:p w14:paraId="B9000000">
      <w:pPr>
        <w:ind w:firstLine="709"/>
        <w:jc w:val="both"/>
      </w:pPr>
      <w:r>
        <w:rPr>
          <w:sz w:val="28"/>
        </w:rPr>
        <w:t xml:space="preserve">На территории Песчанокопского района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всего 4 единицы, из них 2 организации (ПАО «Донэнерго» и ПАО Россети Юг), в которых участие субъекта РФ и (или) городского округа (муниципального района) в уставном капитале составляет не более 25 %. </w:t>
      </w:r>
    </w:p>
    <w:p w14:paraId="BA000000">
      <w:pPr>
        <w:ind w:firstLine="709"/>
        <w:jc w:val="both"/>
      </w:pPr>
      <w:r>
        <w:rPr>
          <w:sz w:val="28"/>
        </w:rPr>
        <w:t>Увелич</w:t>
      </w:r>
      <w:r>
        <w:rPr>
          <w:sz w:val="28"/>
        </w:rPr>
        <w:t>ение прогнозных показателей 2021</w:t>
      </w:r>
      <w:r>
        <w:rPr>
          <w:sz w:val="28"/>
        </w:rPr>
        <w:t xml:space="preserve"> – 202</w:t>
      </w:r>
      <w:r>
        <w:rPr>
          <w:sz w:val="28"/>
        </w:rPr>
        <w:t>3</w:t>
      </w:r>
      <w:r>
        <w:rPr>
          <w:sz w:val="28"/>
        </w:rPr>
        <w:t xml:space="preserve"> года не планируется.</w:t>
      </w:r>
    </w:p>
    <w:p w14:paraId="BB000000">
      <w:pPr>
        <w:pStyle w:val="Style_3"/>
        <w:spacing w:after="0" w:before="0"/>
        <w:ind w:firstLine="709"/>
        <w:jc w:val="both"/>
      </w:pPr>
      <w:r>
        <w:rPr>
          <w:b w:val="1"/>
          <w:sz w:val="28"/>
        </w:rPr>
        <w:t>Показатель 29. Доля многоквартирных домов, расположенных на земельных участках, в отношении которых осуществлен государственный кадастровый учет.</w:t>
      </w:r>
    </w:p>
    <w:p w14:paraId="BC000000">
      <w:pPr>
        <w:pStyle w:val="Style_3"/>
        <w:spacing w:after="0" w:before="0"/>
        <w:ind/>
        <w:jc w:val="both"/>
        <w:rPr>
          <w:b w:val="1"/>
          <w:sz w:val="28"/>
        </w:rPr>
      </w:pPr>
    </w:p>
    <w:p w14:paraId="BD000000">
      <w:pPr>
        <w:ind w:firstLine="709"/>
        <w:jc w:val="both"/>
      </w:pPr>
      <w:r>
        <w:rPr>
          <w:sz w:val="28"/>
        </w:rPr>
        <w:t>Доля многоквартирных домов, расположенных на земельных участках, в отношении которых осуществлен государственный к</w:t>
      </w:r>
      <w:r>
        <w:rPr>
          <w:sz w:val="28"/>
        </w:rPr>
        <w:t>адастровый учет составила в 2018</w:t>
      </w:r>
      <w:r>
        <w:rPr>
          <w:sz w:val="28"/>
        </w:rPr>
        <w:t xml:space="preserve"> году – 100,00 %, в 201</w:t>
      </w:r>
      <w:r>
        <w:rPr>
          <w:sz w:val="28"/>
        </w:rPr>
        <w:t>9 году – 100,00 %, в 2020</w:t>
      </w:r>
      <w:r>
        <w:rPr>
          <w:sz w:val="28"/>
        </w:rPr>
        <w:t xml:space="preserve"> году – 100,00 %.</w:t>
      </w:r>
    </w:p>
    <w:p w14:paraId="BE000000">
      <w:pPr>
        <w:ind w:firstLine="709"/>
        <w:jc w:val="both"/>
      </w:pPr>
      <w:r>
        <w:rPr>
          <w:sz w:val="28"/>
        </w:rPr>
        <w:t>В Песчанокопском районе работа по постановке земельных участков на государственный кадастровый учет под многоквартирными жилыми домами завершена в 2010 году. В настоящее время 100% земельных участков поставлены на государственный кадастровый учет. Прогнозируемые значения показателя не изменятся.</w:t>
      </w:r>
    </w:p>
    <w:p w14:paraId="BF000000">
      <w:pPr>
        <w:ind w:firstLine="709"/>
        <w:jc w:val="both"/>
        <w:rPr>
          <w:sz w:val="28"/>
        </w:rPr>
      </w:pPr>
    </w:p>
    <w:p w14:paraId="C0000000">
      <w:pPr>
        <w:pStyle w:val="Style_3"/>
        <w:spacing w:after="0" w:before="0"/>
        <w:ind w:firstLine="709"/>
        <w:jc w:val="both"/>
      </w:pPr>
      <w:r>
        <w:rPr>
          <w:b w:val="1"/>
          <w:sz w:val="28"/>
        </w:rPr>
        <w:t xml:space="preserve">Показатель </w:t>
      </w:r>
      <w:r>
        <w:rPr>
          <w:b w:val="1"/>
          <w:sz w:val="28"/>
        </w:rPr>
        <w:t>30. 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помещениях.</w:t>
      </w:r>
    </w:p>
    <w:p w14:paraId="C1000000">
      <w:pPr>
        <w:pStyle w:val="Style_3"/>
        <w:spacing w:after="0" w:before="0"/>
        <w:ind/>
        <w:jc w:val="both"/>
      </w:pPr>
    </w:p>
    <w:p w14:paraId="C2000000">
      <w:pPr>
        <w:ind w:firstLine="567"/>
        <w:jc w:val="both"/>
      </w:pPr>
      <w:r>
        <w:rPr>
          <w:sz w:val="28"/>
        </w:rPr>
        <w:t xml:space="preserve"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 составила в 2017 году – 15,3 %, в 2018 году – 12,7 %, в 2019 – 25 %. </w:t>
      </w:r>
    </w:p>
    <w:p w14:paraId="C3000000">
      <w:pPr>
        <w:ind/>
        <w:jc w:val="both"/>
      </w:pPr>
      <w:r>
        <w:rPr>
          <w:sz w:val="28"/>
        </w:rPr>
        <w:t xml:space="preserve">Уменьшение показателя в 2019 году по отношению к 2018 году связано с выделением по действующим программам из федерального и областного бюджетов средств меньше по сравнению с 2018 годом (общая сумма выделенных средств по программам в 2018 – 16317383 тыс. руб., 2019 – 27443164 тыс. руб.) </w:t>
      </w:r>
    </w:p>
    <w:p w14:paraId="C4000000">
      <w:pPr>
        <w:ind/>
        <w:jc w:val="both"/>
      </w:pPr>
      <w:r>
        <w:rPr>
          <w:sz w:val="28"/>
        </w:rPr>
        <w:t xml:space="preserve">В 2020 – 2022 годах планируется изменение данного показателя до 1,3 %, в связи с уменьшением выделения средств из федерального и областного бюджетов. </w:t>
      </w:r>
    </w:p>
    <w:p w14:paraId="C5000000">
      <w:pPr>
        <w:ind w:firstLine="692"/>
        <w:jc w:val="both"/>
        <w:rPr>
          <w:sz w:val="28"/>
        </w:rPr>
      </w:pPr>
    </w:p>
    <w:p w14:paraId="C6000000">
      <w:pPr>
        <w:pStyle w:val="Style_6"/>
        <w:tabs>
          <w:tab w:leader="none" w:pos="4536" w:val="clear"/>
          <w:tab w:leader="none" w:pos="9072" w:val="clear"/>
        </w:tabs>
        <w:ind w:firstLine="690"/>
        <w:jc w:val="center"/>
      </w:pPr>
      <w:r>
        <w:rPr>
          <w:b w:val="1"/>
          <w:sz w:val="28"/>
        </w:rPr>
        <w:t>VIII</w:t>
      </w:r>
      <w:r>
        <w:rPr>
          <w:b w:val="1"/>
          <w:sz w:val="28"/>
        </w:rPr>
        <w:t>. Организация муниципального управления</w:t>
      </w:r>
    </w:p>
    <w:p w14:paraId="C7000000">
      <w:pPr>
        <w:pStyle w:val="Style_6"/>
        <w:tabs>
          <w:tab w:leader="none" w:pos="4536" w:val="clear"/>
          <w:tab w:leader="none" w:pos="9072" w:val="clear"/>
        </w:tabs>
        <w:ind w:firstLine="690"/>
        <w:jc w:val="center"/>
        <w:rPr>
          <w:sz w:val="28"/>
        </w:rPr>
      </w:pPr>
    </w:p>
    <w:p w14:paraId="C8000000">
      <w:pPr>
        <w:pStyle w:val="Style_6"/>
        <w:tabs>
          <w:tab w:leader="none" w:pos="4536" w:val="clear"/>
          <w:tab w:leader="none" w:pos="9072" w:val="clear"/>
        </w:tabs>
        <w:ind w:firstLine="709"/>
        <w:jc w:val="both"/>
      </w:pPr>
      <w:r>
        <w:rPr>
          <w:b w:val="1"/>
          <w:sz w:val="28"/>
        </w:rPr>
        <w:t>Показатель 31. 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субвенций).</w:t>
      </w:r>
    </w:p>
    <w:p w14:paraId="C9000000">
      <w:pPr>
        <w:pStyle w:val="Style_6"/>
        <w:tabs>
          <w:tab w:leader="none" w:pos="4536" w:val="clear"/>
          <w:tab w:leader="none" w:pos="9072" w:val="clear"/>
        </w:tabs>
        <w:ind/>
        <w:jc w:val="both"/>
        <w:rPr>
          <w:b w:val="1"/>
          <w:sz w:val="28"/>
          <w:highlight w:val="white"/>
        </w:rPr>
      </w:pPr>
    </w:p>
    <w:p w14:paraId="CA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 составила в </w:t>
      </w:r>
      <w:r>
        <w:rPr>
          <w:color w:val="000000"/>
          <w:sz w:val="28"/>
        </w:rPr>
        <w:t xml:space="preserve"> 201</w:t>
      </w:r>
      <w:r>
        <w:rPr>
          <w:color w:val="000000"/>
          <w:sz w:val="28"/>
        </w:rPr>
        <w:t>8</w:t>
      </w:r>
      <w:r>
        <w:rPr>
          <w:color w:val="000000"/>
          <w:sz w:val="28"/>
        </w:rPr>
        <w:t xml:space="preserve"> год</w:t>
      </w:r>
      <w:r>
        <w:rPr>
          <w:color w:val="000000"/>
          <w:sz w:val="28"/>
        </w:rPr>
        <w:t xml:space="preserve">у – </w:t>
      </w:r>
      <w:r>
        <w:rPr>
          <w:color w:val="000000"/>
          <w:sz w:val="28"/>
        </w:rPr>
        <w:t>30,33</w:t>
      </w:r>
      <w:r>
        <w:rPr>
          <w:color w:val="000000"/>
          <w:sz w:val="28"/>
        </w:rPr>
        <w:t xml:space="preserve">%, </w:t>
      </w:r>
      <w:r>
        <w:rPr>
          <w:color w:val="000000"/>
          <w:sz w:val="28"/>
        </w:rPr>
        <w:t>в 201</w:t>
      </w:r>
      <w:r>
        <w:rPr>
          <w:color w:val="000000"/>
          <w:sz w:val="28"/>
        </w:rPr>
        <w:t>9</w:t>
      </w:r>
      <w:r>
        <w:rPr>
          <w:color w:val="000000"/>
          <w:sz w:val="28"/>
        </w:rPr>
        <w:t xml:space="preserve"> году – </w:t>
      </w:r>
      <w:r>
        <w:rPr>
          <w:color w:val="000000"/>
          <w:sz w:val="28"/>
        </w:rPr>
        <w:t>26,71</w:t>
      </w:r>
      <w:r>
        <w:rPr>
          <w:color w:val="000000"/>
          <w:sz w:val="28"/>
        </w:rPr>
        <w:t>%</w:t>
      </w:r>
      <w:r>
        <w:rPr>
          <w:color w:val="000000"/>
          <w:sz w:val="28"/>
        </w:rPr>
        <w:t>, в 20</w:t>
      </w:r>
      <w:r>
        <w:rPr>
          <w:color w:val="000000"/>
          <w:sz w:val="28"/>
        </w:rPr>
        <w:t>20</w:t>
      </w:r>
      <w:r>
        <w:rPr>
          <w:color w:val="000000"/>
          <w:sz w:val="28"/>
        </w:rPr>
        <w:t xml:space="preserve"> году – </w:t>
      </w:r>
      <w:r>
        <w:rPr>
          <w:color w:val="000000"/>
          <w:sz w:val="28"/>
        </w:rPr>
        <w:t>21,98</w:t>
      </w:r>
      <w:r>
        <w:rPr>
          <w:color w:val="000000"/>
          <w:sz w:val="28"/>
        </w:rPr>
        <w:t>%, в 202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 xml:space="preserve"> году – </w:t>
      </w:r>
      <w:r>
        <w:rPr>
          <w:color w:val="000000"/>
          <w:sz w:val="28"/>
        </w:rPr>
        <w:t>22,63</w:t>
      </w:r>
      <w:r>
        <w:rPr>
          <w:color w:val="000000"/>
          <w:sz w:val="28"/>
        </w:rPr>
        <w:t>%, в 202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 xml:space="preserve"> году-</w:t>
      </w:r>
      <w:r>
        <w:rPr>
          <w:color w:val="000000"/>
          <w:sz w:val="28"/>
        </w:rPr>
        <w:t>49,89</w:t>
      </w:r>
      <w:r>
        <w:rPr>
          <w:color w:val="000000"/>
          <w:sz w:val="28"/>
        </w:rPr>
        <w:t>%, в 202</w:t>
      </w:r>
      <w:r>
        <w:rPr>
          <w:color w:val="000000"/>
          <w:sz w:val="28"/>
        </w:rPr>
        <w:t>3</w:t>
      </w:r>
      <w:r>
        <w:rPr>
          <w:color w:val="000000"/>
          <w:sz w:val="28"/>
        </w:rPr>
        <w:t xml:space="preserve"> году-</w:t>
      </w:r>
      <w:r>
        <w:rPr>
          <w:color w:val="000000"/>
          <w:sz w:val="28"/>
        </w:rPr>
        <w:t>46,98</w:t>
      </w:r>
      <w:r>
        <w:rPr>
          <w:color w:val="000000"/>
          <w:sz w:val="28"/>
        </w:rPr>
        <w:t>%.</w:t>
      </w:r>
    </w:p>
    <w:p w14:paraId="CB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Уменьшение доли налоговых и неналоговых доходов в 201</w:t>
      </w:r>
      <w:r>
        <w:rPr>
          <w:color w:val="000000"/>
          <w:sz w:val="28"/>
        </w:rPr>
        <w:t>9</w:t>
      </w:r>
      <w:r>
        <w:rPr>
          <w:color w:val="000000"/>
          <w:sz w:val="28"/>
        </w:rPr>
        <w:t xml:space="preserve"> году по сравнению с 201</w:t>
      </w:r>
      <w:r>
        <w:rPr>
          <w:color w:val="000000"/>
          <w:sz w:val="28"/>
        </w:rPr>
        <w:t>8</w:t>
      </w:r>
      <w:r>
        <w:rPr>
          <w:color w:val="000000"/>
          <w:sz w:val="28"/>
        </w:rPr>
        <w:t xml:space="preserve"> годом связано с уменьшением норматива отчислений по НДФЛ с 47,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>% до 4</w:t>
      </w:r>
      <w:r>
        <w:rPr>
          <w:color w:val="000000"/>
          <w:sz w:val="28"/>
        </w:rPr>
        <w:t>6,8</w:t>
      </w:r>
      <w:r>
        <w:rPr>
          <w:color w:val="000000"/>
          <w:sz w:val="28"/>
        </w:rPr>
        <w:t>%.</w:t>
      </w:r>
    </w:p>
    <w:p w14:paraId="CC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Уменьшение доли налоговых и неналоговых доходов в 20</w:t>
      </w:r>
      <w:r>
        <w:rPr>
          <w:color w:val="000000"/>
          <w:sz w:val="28"/>
        </w:rPr>
        <w:t>20</w:t>
      </w:r>
      <w:r>
        <w:rPr>
          <w:color w:val="000000"/>
          <w:sz w:val="28"/>
        </w:rPr>
        <w:t xml:space="preserve"> году по сравнению с 201</w:t>
      </w:r>
      <w:r>
        <w:rPr>
          <w:color w:val="000000"/>
          <w:sz w:val="28"/>
        </w:rPr>
        <w:t>9</w:t>
      </w:r>
      <w:r>
        <w:rPr>
          <w:color w:val="000000"/>
          <w:sz w:val="28"/>
        </w:rPr>
        <w:t xml:space="preserve"> годом связано с уменьшением норматива отчислений по НДФЛ с 4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8</w:t>
      </w:r>
      <w:r>
        <w:rPr>
          <w:color w:val="000000"/>
          <w:sz w:val="28"/>
        </w:rPr>
        <w:t xml:space="preserve">% до </w:t>
      </w:r>
      <w:r>
        <w:rPr>
          <w:color w:val="000000"/>
          <w:sz w:val="28"/>
        </w:rPr>
        <w:t>45,4</w:t>
      </w:r>
      <w:r>
        <w:rPr>
          <w:color w:val="000000"/>
          <w:sz w:val="28"/>
        </w:rPr>
        <w:t>%.</w:t>
      </w:r>
    </w:p>
    <w:p w14:paraId="CD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Увеличение</w:t>
      </w:r>
      <w:r>
        <w:rPr>
          <w:color w:val="000000"/>
          <w:sz w:val="28"/>
        </w:rPr>
        <w:t xml:space="preserve"> доли налоговых и неналоговых доходов в 20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 xml:space="preserve"> году по сравнению с </w:t>
      </w:r>
      <w:r>
        <w:rPr>
          <w:color w:val="000000"/>
          <w:sz w:val="28"/>
        </w:rPr>
        <w:t>20</w:t>
      </w:r>
      <w:r>
        <w:rPr>
          <w:color w:val="000000"/>
          <w:sz w:val="28"/>
        </w:rPr>
        <w:t>20</w:t>
      </w:r>
      <w:r>
        <w:rPr>
          <w:color w:val="000000"/>
          <w:sz w:val="28"/>
        </w:rPr>
        <w:t xml:space="preserve"> годом связано с </w:t>
      </w:r>
      <w:r>
        <w:rPr>
          <w:color w:val="000000"/>
          <w:sz w:val="28"/>
        </w:rPr>
        <w:t xml:space="preserve">уменьшением показателя собственных доходов на сумму </w:t>
      </w:r>
      <w:r>
        <w:rPr>
          <w:color w:val="000000"/>
          <w:sz w:val="28"/>
        </w:rPr>
        <w:t>30716,0</w:t>
      </w:r>
      <w:r>
        <w:rPr>
          <w:color w:val="000000"/>
          <w:sz w:val="28"/>
        </w:rPr>
        <w:t xml:space="preserve"> тыс. </w:t>
      </w:r>
      <w:r>
        <w:rPr>
          <w:color w:val="000000"/>
          <w:sz w:val="28"/>
        </w:rPr>
        <w:t xml:space="preserve">рублей </w:t>
      </w:r>
      <w:r>
        <w:rPr>
          <w:color w:val="000000"/>
          <w:sz w:val="28"/>
        </w:rPr>
        <w:t>за счет уменьшения поступлений субсидий из областного бюджета.</w:t>
      </w:r>
    </w:p>
    <w:p w14:paraId="CE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Увеличение доли налоговых и неналоговых доходов в 202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 xml:space="preserve"> году по сравнению с 20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 xml:space="preserve"> годом связано с </w:t>
      </w:r>
      <w:r>
        <w:rPr>
          <w:color w:val="000000"/>
          <w:sz w:val="28"/>
        </w:rPr>
        <w:t xml:space="preserve">уменьшением </w:t>
      </w:r>
      <w:r>
        <w:rPr>
          <w:color w:val="000000"/>
          <w:sz w:val="28"/>
        </w:rPr>
        <w:t xml:space="preserve">показателя </w:t>
      </w:r>
      <w:r>
        <w:rPr>
          <w:color w:val="000000"/>
          <w:sz w:val="28"/>
        </w:rPr>
        <w:t xml:space="preserve">собственных доходов на </w:t>
      </w:r>
      <w:r>
        <w:rPr>
          <w:color w:val="000000"/>
          <w:sz w:val="28"/>
        </w:rPr>
        <w:t xml:space="preserve">сумму </w:t>
      </w:r>
      <w:r>
        <w:rPr>
          <w:color w:val="000000"/>
          <w:sz w:val="28"/>
        </w:rPr>
        <w:t>310999,4</w:t>
      </w:r>
      <w:r>
        <w:rPr>
          <w:color w:val="000000"/>
          <w:sz w:val="28"/>
        </w:rPr>
        <w:t xml:space="preserve"> тыс. </w:t>
      </w:r>
      <w:r>
        <w:rPr>
          <w:color w:val="000000"/>
          <w:sz w:val="28"/>
        </w:rPr>
        <w:t>за счет уменьшения поступлений субсидий из областного бюджета.</w:t>
      </w:r>
    </w:p>
    <w:p w14:paraId="CF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Уменьшение</w:t>
      </w:r>
      <w:r>
        <w:rPr>
          <w:color w:val="000000"/>
          <w:sz w:val="28"/>
        </w:rPr>
        <w:t xml:space="preserve"> доли налоговых и неналоговых доходов в 202</w:t>
      </w:r>
      <w:r>
        <w:rPr>
          <w:color w:val="000000"/>
          <w:sz w:val="28"/>
        </w:rPr>
        <w:t>3</w:t>
      </w:r>
      <w:r>
        <w:rPr>
          <w:color w:val="000000"/>
          <w:sz w:val="28"/>
        </w:rPr>
        <w:t xml:space="preserve"> году по сравнению с 20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 xml:space="preserve"> годом связано с </w:t>
      </w:r>
      <w:r>
        <w:rPr>
          <w:color w:val="000000"/>
          <w:sz w:val="28"/>
        </w:rPr>
        <w:t>увеличением</w:t>
      </w:r>
      <w:r>
        <w:rPr>
          <w:color w:val="000000"/>
          <w:sz w:val="28"/>
        </w:rPr>
        <w:t xml:space="preserve"> показателя собственных доходов на сумму </w:t>
      </w:r>
      <w:r>
        <w:rPr>
          <w:color w:val="000000"/>
          <w:sz w:val="28"/>
        </w:rPr>
        <w:t>31812,9</w:t>
      </w:r>
      <w:r>
        <w:rPr>
          <w:color w:val="000000"/>
          <w:sz w:val="28"/>
        </w:rPr>
        <w:t xml:space="preserve"> тыс. за счет </w:t>
      </w:r>
      <w:r>
        <w:rPr>
          <w:color w:val="000000"/>
          <w:sz w:val="28"/>
        </w:rPr>
        <w:t>увеличения</w:t>
      </w:r>
      <w:r>
        <w:rPr>
          <w:color w:val="000000"/>
          <w:sz w:val="28"/>
        </w:rPr>
        <w:t xml:space="preserve"> поступлений субсидий из областного бюджета.</w:t>
      </w:r>
    </w:p>
    <w:p w14:paraId="D0000000">
      <w:pPr>
        <w:ind w:firstLine="709"/>
        <w:jc w:val="both"/>
      </w:pPr>
    </w:p>
    <w:p w14:paraId="D1000000">
      <w:pPr>
        <w:ind w:firstLine="709"/>
        <w:jc w:val="both"/>
        <w:rPr>
          <w:color w:val="000000"/>
          <w:sz w:val="28"/>
        </w:rPr>
      </w:pPr>
    </w:p>
    <w:p w14:paraId="D2000000">
      <w:pPr>
        <w:ind w:firstLine="709"/>
        <w:jc w:val="both"/>
      </w:pPr>
      <w:r>
        <w:rPr>
          <w:b w:val="1"/>
          <w:color w:val="000000"/>
          <w:sz w:val="28"/>
        </w:rPr>
        <w:t>Показатель 32. 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стоимости).</w:t>
      </w:r>
    </w:p>
    <w:p w14:paraId="D3000000">
      <w:pPr>
        <w:ind/>
        <w:jc w:val="both"/>
        <w:rPr>
          <w:b w:val="1"/>
          <w:color w:val="000000"/>
          <w:sz w:val="28"/>
        </w:rPr>
      </w:pPr>
    </w:p>
    <w:p w14:paraId="D4000000">
      <w:pPr>
        <w:ind w:firstLine="690"/>
        <w:jc w:val="both"/>
      </w:pPr>
      <w:r>
        <w:rPr>
          <w:color w:val="000000"/>
          <w:sz w:val="28"/>
        </w:rPr>
        <w:t xml:space="preserve">На территории Песчанокопского района организации муниципальной формы собственности, находящиеся в стадии банкротства, отсутствуют. </w:t>
      </w:r>
    </w:p>
    <w:p w14:paraId="D5000000">
      <w:pPr>
        <w:ind w:firstLine="709"/>
        <w:jc w:val="both"/>
      </w:pPr>
      <w:r>
        <w:rPr>
          <w:color w:val="000000"/>
          <w:sz w:val="28"/>
        </w:rPr>
        <w:t>В 2020-2022 годах изменение данного показателя не планируется.</w:t>
      </w:r>
    </w:p>
    <w:p w14:paraId="D6000000">
      <w:pPr>
        <w:pStyle w:val="Style_6"/>
        <w:tabs>
          <w:tab w:leader="none" w:pos="4536" w:val="clear"/>
          <w:tab w:leader="none" w:pos="9072" w:val="clear"/>
        </w:tabs>
        <w:ind w:firstLine="690"/>
        <w:jc w:val="both"/>
        <w:rPr>
          <w:b w:val="1"/>
          <w:color w:val="000000"/>
          <w:sz w:val="28"/>
        </w:rPr>
      </w:pPr>
    </w:p>
    <w:p w14:paraId="D7000000">
      <w:pPr>
        <w:pStyle w:val="Style_6"/>
        <w:tabs>
          <w:tab w:leader="none" w:pos="4536" w:val="clear"/>
          <w:tab w:leader="none" w:pos="9072" w:val="clear"/>
        </w:tabs>
        <w:ind w:firstLine="709"/>
        <w:jc w:val="both"/>
      </w:pPr>
      <w:r>
        <w:rPr>
          <w:b w:val="1"/>
          <w:color w:val="000000"/>
          <w:sz w:val="28"/>
        </w:rPr>
        <w:t>Показатель 33. Объем не завершенного в установленные сроки строительства, осуществляемого за счет средств бюджета городского округа (муниципального района).</w:t>
      </w:r>
    </w:p>
    <w:p w14:paraId="D8000000">
      <w:pPr>
        <w:pStyle w:val="Style_6"/>
        <w:tabs>
          <w:tab w:leader="none" w:pos="4536" w:val="clear"/>
          <w:tab w:leader="none" w:pos="9072" w:val="clear"/>
        </w:tabs>
        <w:ind/>
        <w:jc w:val="both"/>
        <w:rPr>
          <w:b w:val="1"/>
          <w:color w:val="000000"/>
          <w:sz w:val="28"/>
        </w:rPr>
      </w:pPr>
    </w:p>
    <w:p w14:paraId="D9000000">
      <w:pPr>
        <w:tabs>
          <w:tab w:leader="none" w:pos="4536" w:val="clear"/>
          <w:tab w:leader="none" w:pos="9072" w:val="clear"/>
        </w:tabs>
        <w:ind w:firstLine="690"/>
        <w:jc w:val="both"/>
      </w:pPr>
      <w:r>
        <w:rPr>
          <w:color w:val="000000"/>
          <w:sz w:val="28"/>
        </w:rPr>
        <w:t>В 20</w:t>
      </w:r>
      <w:r>
        <w:rPr>
          <w:color w:val="000000"/>
          <w:sz w:val="28"/>
        </w:rPr>
        <w:t>18</w:t>
      </w:r>
      <w:r>
        <w:rPr>
          <w:color w:val="000000"/>
          <w:sz w:val="28"/>
        </w:rPr>
        <w:t>-20</w:t>
      </w:r>
      <w:r>
        <w:rPr>
          <w:color w:val="000000"/>
          <w:sz w:val="28"/>
        </w:rPr>
        <w:t>20</w:t>
      </w:r>
      <w:r>
        <w:rPr>
          <w:color w:val="000000"/>
          <w:sz w:val="28"/>
        </w:rPr>
        <w:t xml:space="preserve"> годах незавершенного в установленные сроки строительства, осуществляемого за счет средств бюджета муниципального района нет.</w:t>
      </w:r>
    </w:p>
    <w:p w14:paraId="DA000000">
      <w:pPr>
        <w:tabs>
          <w:tab w:leader="none" w:pos="4536" w:val="clear"/>
          <w:tab w:leader="none" w:pos="9072" w:val="clear"/>
        </w:tabs>
        <w:ind w:firstLine="690"/>
        <w:jc w:val="both"/>
      </w:pPr>
      <w:r>
        <w:rPr>
          <w:color w:val="000000"/>
          <w:sz w:val="28"/>
        </w:rPr>
        <w:t>Значение показателя обеспечивается устранением административных барьеров в предоставлении услуг на всех стадиях строительства, а также контролем за графиком выполненных работ.</w:t>
      </w:r>
    </w:p>
    <w:p w14:paraId="DB000000">
      <w:pPr>
        <w:ind w:firstLine="690"/>
        <w:jc w:val="both"/>
      </w:pPr>
      <w:r>
        <w:rPr>
          <w:color w:val="000000"/>
          <w:sz w:val="28"/>
        </w:rPr>
        <w:t>Прогнозируемые значения показателя на период 202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>-202</w:t>
      </w:r>
      <w:r>
        <w:rPr>
          <w:color w:val="000000"/>
          <w:sz w:val="28"/>
        </w:rPr>
        <w:t>3</w:t>
      </w:r>
      <w:r>
        <w:rPr>
          <w:color w:val="000000"/>
          <w:sz w:val="28"/>
        </w:rPr>
        <w:t xml:space="preserve"> годов приняты на уровне 20</w:t>
      </w:r>
      <w:r>
        <w:rPr>
          <w:color w:val="000000"/>
          <w:sz w:val="28"/>
        </w:rPr>
        <w:t>20</w:t>
      </w:r>
      <w:r>
        <w:rPr>
          <w:color w:val="000000"/>
          <w:sz w:val="28"/>
        </w:rPr>
        <w:t xml:space="preserve"> года.</w:t>
      </w:r>
    </w:p>
    <w:p w14:paraId="DC000000">
      <w:pPr>
        <w:ind w:firstLine="690"/>
        <w:jc w:val="both"/>
        <w:rPr>
          <w:color w:val="000000"/>
          <w:sz w:val="28"/>
        </w:rPr>
      </w:pPr>
    </w:p>
    <w:p w14:paraId="DD000000">
      <w:pPr>
        <w:ind w:firstLine="709"/>
        <w:jc w:val="both"/>
      </w:pPr>
      <w:r>
        <w:rPr>
          <w:b w:val="1"/>
          <w:color w:val="000000"/>
          <w:sz w:val="28"/>
        </w:rPr>
        <w:t>Показатель 34. 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труда).</w:t>
      </w:r>
    </w:p>
    <w:p w14:paraId="DE000000">
      <w:pPr>
        <w:ind/>
        <w:jc w:val="both"/>
        <w:rPr>
          <w:b w:val="1"/>
          <w:color w:val="000000"/>
          <w:sz w:val="28"/>
        </w:rPr>
      </w:pPr>
    </w:p>
    <w:p w14:paraId="DF000000">
      <w:pPr>
        <w:widowControl w:val="0"/>
        <w:ind/>
        <w:jc w:val="both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>В 201</w:t>
      </w:r>
      <w:r>
        <w:rPr>
          <w:b w:val="0"/>
          <w:color w:val="000000"/>
          <w:sz w:val="28"/>
        </w:rPr>
        <w:t>8</w:t>
      </w:r>
      <w:r>
        <w:rPr>
          <w:b w:val="0"/>
          <w:color w:val="000000"/>
          <w:sz w:val="28"/>
        </w:rPr>
        <w:t>-20</w:t>
      </w:r>
      <w:r>
        <w:rPr>
          <w:b w:val="0"/>
          <w:color w:val="000000"/>
          <w:sz w:val="28"/>
        </w:rPr>
        <w:t>20</w:t>
      </w:r>
      <w:r>
        <w:rPr>
          <w:b w:val="0"/>
          <w:color w:val="000000"/>
          <w:sz w:val="28"/>
        </w:rPr>
        <w:t xml:space="preserve"> годах просроченная кредиторская задолженность по оплате труда </w:t>
      </w:r>
      <w:r>
        <w:rPr>
          <w:b w:val="0"/>
          <w:color w:val="000000"/>
          <w:sz w:val="28"/>
        </w:rPr>
        <w:t xml:space="preserve">по исполнению бюджета Песчанокопского района </w:t>
      </w:r>
      <w:r>
        <w:rPr>
          <w:b w:val="0"/>
          <w:color w:val="000000"/>
          <w:sz w:val="28"/>
        </w:rPr>
        <w:t xml:space="preserve">отсутствовала. </w:t>
      </w:r>
    </w:p>
    <w:p w14:paraId="E0000000">
      <w:pPr>
        <w:ind w:firstLine="690"/>
        <w:jc w:val="both"/>
        <w:rPr>
          <w:b w:val="1"/>
          <w:color w:val="000000"/>
          <w:sz w:val="28"/>
        </w:rPr>
      </w:pPr>
    </w:p>
    <w:p w14:paraId="E1000000">
      <w:pPr>
        <w:pStyle w:val="Style_6"/>
        <w:tabs>
          <w:tab w:leader="none" w:pos="4536" w:val="clear"/>
          <w:tab w:leader="none" w:pos="9072" w:val="clear"/>
        </w:tabs>
        <w:ind w:firstLine="709"/>
        <w:jc w:val="both"/>
      </w:pPr>
      <w:r>
        <w:rPr>
          <w:b w:val="1"/>
          <w:color w:val="000000"/>
          <w:sz w:val="28"/>
        </w:rPr>
        <w:t>Показатель 35.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образования.</w:t>
      </w:r>
    </w:p>
    <w:p w14:paraId="E2000000">
      <w:pPr>
        <w:pStyle w:val="Style_6"/>
        <w:tabs>
          <w:tab w:leader="none" w:pos="4536" w:val="clear"/>
          <w:tab w:leader="none" w:pos="9072" w:val="clear"/>
        </w:tabs>
        <w:ind/>
        <w:jc w:val="both"/>
        <w:rPr>
          <w:b w:val="1"/>
          <w:color w:val="000000"/>
          <w:sz w:val="28"/>
        </w:rPr>
      </w:pPr>
    </w:p>
    <w:p w14:paraId="E3000000">
      <w:pPr>
        <w:tabs>
          <w:tab w:leader="none" w:pos="4536" w:val="clear"/>
          <w:tab w:leader="none" w:pos="9072" w:val="clear"/>
        </w:tabs>
        <w:ind w:firstLine="709"/>
        <w:jc w:val="both"/>
        <w:rPr>
          <w:sz w:val="28"/>
        </w:rPr>
      </w:pPr>
      <w:r>
        <w:rPr>
          <w:sz w:val="28"/>
        </w:rPr>
        <w:t xml:space="preserve"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составили в </w:t>
      </w:r>
      <w:r>
        <w:rPr>
          <w:sz w:val="28"/>
        </w:rPr>
        <w:t xml:space="preserve"> 201</w:t>
      </w:r>
      <w:r>
        <w:rPr>
          <w:sz w:val="28"/>
        </w:rPr>
        <w:t>8</w:t>
      </w:r>
      <w:r>
        <w:rPr>
          <w:sz w:val="28"/>
        </w:rPr>
        <w:t xml:space="preserve"> году — </w:t>
      </w:r>
      <w:r>
        <w:rPr>
          <w:sz w:val="28"/>
        </w:rPr>
        <w:t xml:space="preserve">1413,88 </w:t>
      </w:r>
      <w:r>
        <w:rPr>
          <w:sz w:val="28"/>
        </w:rPr>
        <w:t>рублей, в 201</w:t>
      </w:r>
      <w:r>
        <w:rPr>
          <w:sz w:val="28"/>
        </w:rPr>
        <w:t>9</w:t>
      </w:r>
      <w:r>
        <w:rPr>
          <w:sz w:val="28"/>
        </w:rPr>
        <w:t xml:space="preserve"> году — </w:t>
      </w:r>
      <w:r>
        <w:rPr>
          <w:sz w:val="28"/>
        </w:rPr>
        <w:t>1566,56</w:t>
      </w:r>
      <w:r>
        <w:rPr>
          <w:sz w:val="28"/>
        </w:rPr>
        <w:t xml:space="preserve"> </w:t>
      </w:r>
      <w:r>
        <w:rPr>
          <w:sz w:val="28"/>
        </w:rPr>
        <w:t>рублей, в 20</w:t>
      </w:r>
      <w:r>
        <w:rPr>
          <w:sz w:val="28"/>
        </w:rPr>
        <w:t>20</w:t>
      </w:r>
      <w:r>
        <w:rPr>
          <w:sz w:val="28"/>
        </w:rPr>
        <w:t xml:space="preserve"> году — </w:t>
      </w:r>
      <w:r>
        <w:rPr>
          <w:sz w:val="28"/>
        </w:rPr>
        <w:t xml:space="preserve">1705,32 </w:t>
      </w:r>
      <w:r>
        <w:rPr>
          <w:sz w:val="28"/>
        </w:rPr>
        <w:t>рублей, в 202</w:t>
      </w:r>
      <w:r>
        <w:rPr>
          <w:sz w:val="28"/>
        </w:rPr>
        <w:t>1</w:t>
      </w:r>
      <w:r>
        <w:rPr>
          <w:sz w:val="28"/>
        </w:rPr>
        <w:t xml:space="preserve"> году — </w:t>
      </w:r>
      <w:r>
        <w:rPr>
          <w:sz w:val="28"/>
        </w:rPr>
        <w:t>1834,43</w:t>
      </w:r>
      <w:r>
        <w:rPr>
          <w:sz w:val="28"/>
        </w:rPr>
        <w:t xml:space="preserve"> </w:t>
      </w:r>
      <w:r>
        <w:rPr>
          <w:sz w:val="28"/>
        </w:rPr>
        <w:t>рублей</w:t>
      </w:r>
      <w:r>
        <w:rPr>
          <w:sz w:val="28"/>
        </w:rPr>
        <w:t>, в 202</w:t>
      </w:r>
      <w:r>
        <w:rPr>
          <w:sz w:val="28"/>
        </w:rPr>
        <w:t>2</w:t>
      </w:r>
      <w:r>
        <w:rPr>
          <w:sz w:val="28"/>
        </w:rPr>
        <w:t xml:space="preserve"> году — </w:t>
      </w:r>
      <w:r>
        <w:rPr>
          <w:sz w:val="28"/>
        </w:rPr>
        <w:t xml:space="preserve">1782,19 </w:t>
      </w:r>
      <w:r>
        <w:rPr>
          <w:sz w:val="28"/>
        </w:rPr>
        <w:t>рублей</w:t>
      </w:r>
      <w:r>
        <w:rPr>
          <w:sz w:val="28"/>
        </w:rPr>
        <w:t>, в 202</w:t>
      </w:r>
      <w:r>
        <w:rPr>
          <w:sz w:val="28"/>
        </w:rPr>
        <w:t>3</w:t>
      </w:r>
      <w:r>
        <w:rPr>
          <w:sz w:val="28"/>
        </w:rPr>
        <w:t xml:space="preserve"> году-</w:t>
      </w:r>
      <w:r>
        <w:rPr>
          <w:sz w:val="28"/>
        </w:rPr>
        <w:t>1784,08</w:t>
      </w:r>
      <w:r>
        <w:rPr>
          <w:sz w:val="28"/>
        </w:rPr>
        <w:t xml:space="preserve"> рублей.</w:t>
      </w:r>
    </w:p>
    <w:p w14:paraId="E4000000">
      <w:pPr>
        <w:tabs>
          <w:tab w:leader="none" w:pos="4536" w:val="clear"/>
          <w:tab w:leader="none" w:pos="9072" w:val="clear"/>
        </w:tabs>
        <w:ind w:firstLine="690"/>
        <w:jc w:val="both"/>
        <w:rPr>
          <w:sz w:val="28"/>
        </w:rPr>
      </w:pPr>
      <w:r>
        <w:rPr>
          <w:sz w:val="28"/>
        </w:rPr>
        <w:t>Увеличение расходов в 201</w:t>
      </w:r>
      <w:r>
        <w:rPr>
          <w:sz w:val="28"/>
        </w:rPr>
        <w:t>8</w:t>
      </w:r>
      <w:r>
        <w:rPr>
          <w:sz w:val="28"/>
        </w:rPr>
        <w:t>-2019</w:t>
      </w:r>
      <w:r>
        <w:rPr>
          <w:sz w:val="28"/>
        </w:rPr>
        <w:t xml:space="preserve"> годах связано с сокращением численно</w:t>
      </w:r>
      <w:r>
        <w:rPr>
          <w:sz w:val="28"/>
        </w:rPr>
        <w:t>сти населения района и у</w:t>
      </w:r>
      <w:r>
        <w:rPr>
          <w:sz w:val="28"/>
        </w:rPr>
        <w:t>величение</w:t>
      </w:r>
      <w:r>
        <w:rPr>
          <w:sz w:val="28"/>
        </w:rPr>
        <w:t>м</w:t>
      </w:r>
      <w:r>
        <w:rPr>
          <w:sz w:val="28"/>
        </w:rPr>
        <w:t xml:space="preserve"> в 2019</w:t>
      </w:r>
      <w:r>
        <w:rPr>
          <w:sz w:val="28"/>
        </w:rPr>
        <w:t xml:space="preserve"> году </w:t>
      </w:r>
      <w:r>
        <w:rPr>
          <w:sz w:val="28"/>
        </w:rPr>
        <w:t>размеров должностных окладов технического персонала и ставок заработной платы обслуживающего персонала органов местного самоуправления Песчанокопского района с 1 октября 2019 года на 4,3 процента.</w:t>
      </w:r>
    </w:p>
    <w:p w14:paraId="E5000000">
      <w:pPr>
        <w:tabs>
          <w:tab w:leader="none" w:pos="4536" w:val="clear"/>
          <w:tab w:leader="none" w:pos="9072" w:val="clear"/>
        </w:tabs>
        <w:ind w:firstLine="690"/>
        <w:jc w:val="both"/>
        <w:rPr>
          <w:sz w:val="28"/>
        </w:rPr>
      </w:pPr>
      <w:r>
        <w:rPr>
          <w:sz w:val="28"/>
        </w:rPr>
        <w:t xml:space="preserve"> Объем расходов на содержание работников органов местного самоуправ</w:t>
      </w:r>
      <w:r>
        <w:rPr>
          <w:sz w:val="28"/>
        </w:rPr>
        <w:t>ления за 20</w:t>
      </w:r>
      <w:r>
        <w:rPr>
          <w:sz w:val="28"/>
        </w:rPr>
        <w:t>20</w:t>
      </w:r>
      <w:r>
        <w:rPr>
          <w:sz w:val="28"/>
        </w:rPr>
        <w:t xml:space="preserve"> год соответствует нормативам формирования расходов на содержание органов местного самоуправления, установленных постановлением Правительства Ростовской области от 2</w:t>
      </w:r>
      <w:r>
        <w:rPr>
          <w:sz w:val="28"/>
        </w:rPr>
        <w:t>5</w:t>
      </w:r>
      <w:r>
        <w:rPr>
          <w:sz w:val="28"/>
        </w:rPr>
        <w:t>.12.201</w:t>
      </w:r>
      <w:r>
        <w:rPr>
          <w:sz w:val="28"/>
        </w:rPr>
        <w:t>9</w:t>
      </w:r>
      <w:r>
        <w:rPr>
          <w:sz w:val="28"/>
        </w:rPr>
        <w:t xml:space="preserve"> г.  № </w:t>
      </w:r>
      <w:r>
        <w:rPr>
          <w:sz w:val="28"/>
        </w:rPr>
        <w:t>1</w:t>
      </w:r>
      <w:r>
        <w:rPr>
          <w:sz w:val="28"/>
        </w:rPr>
        <w:t xml:space="preserve"> «О нормативах формирования расходов на содержание органов местного самоуправления муниципальных образований Ростовской области».</w:t>
      </w:r>
    </w:p>
    <w:p w14:paraId="E6000000">
      <w:pPr>
        <w:tabs>
          <w:tab w:leader="none" w:pos="4536" w:val="clear"/>
          <w:tab w:leader="none" w:pos="9072" w:val="clear"/>
        </w:tabs>
        <w:ind w:firstLine="690"/>
        <w:jc w:val="both"/>
        <w:rPr>
          <w:sz w:val="28"/>
        </w:rPr>
      </w:pPr>
      <w:r>
        <w:rPr>
          <w:sz w:val="28"/>
        </w:rPr>
        <w:t>Увеличение расходов в 20</w:t>
      </w:r>
      <w:r>
        <w:rPr>
          <w:sz w:val="28"/>
        </w:rPr>
        <w:t>20</w:t>
      </w:r>
      <w:r>
        <w:rPr>
          <w:sz w:val="28"/>
        </w:rPr>
        <w:t xml:space="preserve"> год</w:t>
      </w:r>
      <w:r>
        <w:rPr>
          <w:sz w:val="28"/>
        </w:rPr>
        <w:t>у</w:t>
      </w:r>
      <w:r>
        <w:rPr>
          <w:sz w:val="28"/>
        </w:rPr>
        <w:t xml:space="preserve"> связано с сокращением численности населения района и увеличением в 20</w:t>
      </w:r>
      <w:r>
        <w:rPr>
          <w:sz w:val="28"/>
        </w:rPr>
        <w:t>20</w:t>
      </w:r>
      <w:r>
        <w:rPr>
          <w:sz w:val="28"/>
        </w:rPr>
        <w:t xml:space="preserve"> году </w:t>
      </w:r>
      <w:r>
        <w:rPr>
          <w:sz w:val="28"/>
        </w:rPr>
        <w:t>размер</w:t>
      </w:r>
      <w:r>
        <w:rPr>
          <w:sz w:val="28"/>
        </w:rPr>
        <w:t>ов</w:t>
      </w:r>
      <w:r>
        <w:rPr>
          <w:sz w:val="28"/>
        </w:rPr>
        <w:t xml:space="preserve"> должностных окладов лиц, замещающих муниципальные должности Песчанокопского района, окладов денежного соде</w:t>
      </w:r>
      <w:r>
        <w:rPr>
          <w:sz w:val="28"/>
        </w:rPr>
        <w:t>р</w:t>
      </w:r>
      <w:r>
        <w:rPr>
          <w:sz w:val="28"/>
        </w:rPr>
        <w:t xml:space="preserve">жания по должностям муниципальной службы Песчанокопского района, </w:t>
      </w:r>
      <w:r>
        <w:rPr>
          <w:sz w:val="28"/>
        </w:rPr>
        <w:t>должностных окладов технического персонала и ставок заработной платы обслуживающего персонала органов местного самоуправления Песчанокопского района индексируются</w:t>
      </w:r>
      <w:r>
        <w:rPr>
          <w:sz w:val="28"/>
        </w:rPr>
        <w:t xml:space="preserve"> с 1 октября 20</w:t>
      </w:r>
      <w:r>
        <w:rPr>
          <w:sz w:val="28"/>
        </w:rPr>
        <w:t>20</w:t>
      </w:r>
      <w:r>
        <w:rPr>
          <w:sz w:val="28"/>
        </w:rPr>
        <w:t xml:space="preserve"> года на </w:t>
      </w:r>
      <w:r>
        <w:rPr>
          <w:sz w:val="28"/>
        </w:rPr>
        <w:t>3,0</w:t>
      </w:r>
      <w:r>
        <w:rPr>
          <w:sz w:val="28"/>
        </w:rPr>
        <w:t xml:space="preserve"> процента</w:t>
      </w:r>
      <w:r>
        <w:rPr>
          <w:sz w:val="28"/>
        </w:rPr>
        <w:t>.</w:t>
      </w:r>
    </w:p>
    <w:p w14:paraId="E7000000">
      <w:pPr>
        <w:pStyle w:val="Style_6"/>
        <w:tabs>
          <w:tab w:leader="none" w:pos="4536" w:val="clear"/>
          <w:tab w:leader="none" w:pos="9072" w:val="clear"/>
        </w:tabs>
        <w:ind w:firstLine="690"/>
        <w:jc w:val="both"/>
        <w:rPr>
          <w:color w:val="000000"/>
          <w:sz w:val="28"/>
          <w:highlight w:val="yellow"/>
        </w:rPr>
      </w:pPr>
      <w:r>
        <w:rPr>
          <w:sz w:val="28"/>
          <w:highlight w:val="white"/>
        </w:rPr>
        <w:t>Прогнозные цифры 20</w:t>
      </w:r>
      <w:r>
        <w:rPr>
          <w:sz w:val="28"/>
          <w:highlight w:val="white"/>
        </w:rPr>
        <w:t>2</w:t>
      </w:r>
      <w:r>
        <w:rPr>
          <w:sz w:val="28"/>
          <w:highlight w:val="white"/>
        </w:rPr>
        <w:t>1</w:t>
      </w:r>
      <w:r>
        <w:rPr>
          <w:sz w:val="28"/>
          <w:highlight w:val="white"/>
        </w:rPr>
        <w:t>-202</w:t>
      </w:r>
      <w:r>
        <w:rPr>
          <w:sz w:val="28"/>
          <w:highlight w:val="white"/>
        </w:rPr>
        <w:t>3</w:t>
      </w:r>
      <w:r>
        <w:rPr>
          <w:sz w:val="28"/>
          <w:highlight w:val="white"/>
        </w:rPr>
        <w:t xml:space="preserve"> годов установлены в соответствии с бюджетом Песчанокопского района и рассчитаны в соответствии с нормативами затрат.</w:t>
      </w:r>
    </w:p>
    <w:p w14:paraId="E8000000">
      <w:pPr>
        <w:pStyle w:val="Style_6"/>
        <w:tabs>
          <w:tab w:leader="none" w:pos="4536" w:val="clear"/>
          <w:tab w:leader="none" w:pos="9072" w:val="clear"/>
        </w:tabs>
        <w:ind w:firstLine="709"/>
        <w:jc w:val="both"/>
      </w:pPr>
      <w:r>
        <w:rPr>
          <w:b w:val="1"/>
          <w:sz w:val="28"/>
        </w:rPr>
        <w:t>Показатель 36. 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района).</w:t>
      </w:r>
    </w:p>
    <w:p w14:paraId="E9000000">
      <w:pPr>
        <w:pStyle w:val="Style_6"/>
        <w:tabs>
          <w:tab w:leader="none" w:pos="4536" w:val="clear"/>
          <w:tab w:leader="none" w:pos="9072" w:val="clear"/>
        </w:tabs>
        <w:ind/>
        <w:jc w:val="both"/>
        <w:rPr>
          <w:b w:val="1"/>
          <w:sz w:val="28"/>
        </w:rPr>
      </w:pPr>
    </w:p>
    <w:p w14:paraId="EA000000">
      <w:pPr>
        <w:tabs>
          <w:tab w:leader="none" w:pos="708" w:val="left"/>
          <w:tab w:leader="none" w:pos="4536" w:val="center"/>
          <w:tab w:leader="none" w:pos="9072" w:val="right"/>
        </w:tabs>
        <w:ind w:firstLine="690"/>
        <w:jc w:val="both"/>
      </w:pPr>
      <w:r>
        <w:rPr>
          <w:sz w:val="28"/>
        </w:rPr>
        <w:t>В Песчанокопском районе имеется Схема территориального планирования Песчанокопского района, утвержденная Решением Собрания депутатов Песчанокопского района от 31.10.2012г. № 154, генеральный план Песчанокопского сельского поселения, разработанный в 2011 году по заказу министерства строительства и утвержденный Решением Собранием депутатов от 03.03.2011г. №72.</w:t>
      </w:r>
    </w:p>
    <w:p w14:paraId="EB000000">
      <w:pPr>
        <w:tabs>
          <w:tab w:leader="none" w:pos="708" w:val="left"/>
          <w:tab w:leader="none" w:pos="4536" w:val="center"/>
          <w:tab w:leader="none" w:pos="9072" w:val="right"/>
        </w:tabs>
        <w:ind w:firstLine="690"/>
        <w:jc w:val="both"/>
      </w:pPr>
      <w:r>
        <w:rPr>
          <w:sz w:val="28"/>
        </w:rPr>
        <w:t>Аналогичные документы, в соответствии со ст. 24 Градостроительного кодекса Российской Федерации приняты во всех муниципальных образованиях Песчанокопского района в 2011-2012 годах.</w:t>
      </w:r>
    </w:p>
    <w:p w14:paraId="EC000000">
      <w:pPr>
        <w:pStyle w:val="Style_6"/>
        <w:tabs>
          <w:tab w:leader="none" w:pos="708" w:val="left"/>
        </w:tabs>
        <w:ind w:firstLine="690"/>
        <w:jc w:val="both"/>
      </w:pPr>
    </w:p>
    <w:p w14:paraId="ED000000">
      <w:pPr>
        <w:ind/>
        <w:jc w:val="center"/>
        <w:rPr>
          <w:b w:val="1"/>
          <w:sz w:val="28"/>
        </w:rPr>
      </w:pPr>
    </w:p>
    <w:p w14:paraId="EE000000">
      <w:pPr>
        <w:ind/>
        <w:jc w:val="center"/>
        <w:rPr>
          <w:b w:val="1"/>
          <w:sz w:val="28"/>
        </w:rPr>
      </w:pPr>
    </w:p>
    <w:p w14:paraId="EF000000">
      <w:pPr>
        <w:pStyle w:val="Style_6"/>
        <w:tabs>
          <w:tab w:leader="none" w:pos="4536" w:val="clear"/>
          <w:tab w:leader="none" w:pos="9072" w:val="clear"/>
        </w:tabs>
        <w:ind w:firstLine="690"/>
        <w:jc w:val="both"/>
        <w:rPr>
          <w:b w:val="1"/>
          <w:sz w:val="28"/>
        </w:rPr>
      </w:pPr>
    </w:p>
    <w:p w14:paraId="F0000000">
      <w:pPr>
        <w:pStyle w:val="Style_5"/>
        <w:spacing w:after="0"/>
        <w:ind w:firstLine="709"/>
        <w:jc w:val="both"/>
      </w:pPr>
      <w:r>
        <w:rPr>
          <w:b w:val="1"/>
          <w:sz w:val="28"/>
        </w:rPr>
        <w:t>Показатель 37. Удовлетворенность населения деятельностью органов местного самоуправления городского округа (муниципального района).</w:t>
      </w:r>
    </w:p>
    <w:p w14:paraId="F1000000">
      <w:pPr>
        <w:pStyle w:val="Style_5"/>
        <w:spacing w:after="0"/>
        <w:ind/>
        <w:jc w:val="both"/>
        <w:rPr>
          <w:b w:val="1"/>
          <w:sz w:val="28"/>
        </w:rPr>
      </w:pPr>
    </w:p>
    <w:p w14:paraId="F2000000">
      <w:pPr>
        <w:pStyle w:val="Style_5"/>
        <w:spacing w:after="0"/>
        <w:ind w:firstLine="690"/>
        <w:jc w:val="both"/>
      </w:pPr>
      <w:r>
        <w:rPr>
          <w:sz w:val="28"/>
          <w:highlight w:val="white"/>
        </w:rPr>
        <w:t>Удовлетворенность населения деятельностью органов местного самоуправления муниципального района составила в 2017 году – 60,7%, в 2018 году – 60,6%, в 2019 году — 56,0 %.</w:t>
      </w:r>
    </w:p>
    <w:p w14:paraId="F3000000">
      <w:pPr>
        <w:pStyle w:val="Style_5"/>
        <w:spacing w:after="0"/>
        <w:ind w:firstLine="690"/>
        <w:jc w:val="both"/>
      </w:pPr>
      <w:r>
        <w:rPr>
          <w:sz w:val="28"/>
        </w:rPr>
        <w:t>В практике работы Администрации района используются такие формы, как выезды информационных групп, проведение публичных слушаний, выездные приемы граждан в сельских поселениях главой Администрации района. С 2010 года функционирует официальный сайт Администрации района, где через блог Главы района, сервис «Я — житель Песчанокопского района!», интернет-приемную осуществляется обратная связь с населением. Аналогичные официальные сайты созданы в каждом сельском поселении района.</w:t>
      </w:r>
    </w:p>
    <w:p w14:paraId="F4000000">
      <w:pPr>
        <w:pStyle w:val="Style_5"/>
        <w:spacing w:after="0"/>
        <w:ind w:firstLine="690"/>
        <w:jc w:val="both"/>
      </w:pPr>
      <w:r>
        <w:rPr>
          <w:sz w:val="28"/>
          <w:highlight w:val="white"/>
        </w:rPr>
        <w:t>В плановом периоде 2019-2021 годах планируется увеличивать этот показатель до 60,9%.  Для этого в районе будут продолжать работать информационные группы с выездом в сельские поселения, планируется расширить систему межведомственного взаимодействия.</w:t>
      </w:r>
    </w:p>
    <w:p w14:paraId="F5000000">
      <w:pPr>
        <w:pStyle w:val="Style_5"/>
        <w:spacing w:after="0"/>
        <w:ind w:firstLine="690"/>
        <w:jc w:val="both"/>
        <w:rPr>
          <w:highlight w:val="white"/>
        </w:rPr>
      </w:pPr>
    </w:p>
    <w:p w14:paraId="F6000000">
      <w:pPr>
        <w:pStyle w:val="Style_5"/>
        <w:spacing w:after="0"/>
        <w:ind w:firstLine="709"/>
        <w:jc w:val="both"/>
      </w:pPr>
      <w:r>
        <w:rPr>
          <w:b w:val="1"/>
          <w:sz w:val="28"/>
        </w:rPr>
        <w:t>Показатель 38. Среднегодовая численность постоянного населения.</w:t>
      </w:r>
    </w:p>
    <w:p w14:paraId="F7000000">
      <w:pPr>
        <w:pStyle w:val="Style_5"/>
        <w:spacing w:after="0"/>
        <w:ind w:firstLine="690"/>
        <w:jc w:val="both"/>
        <w:rPr>
          <w:b w:val="1"/>
          <w:sz w:val="28"/>
        </w:rPr>
      </w:pPr>
    </w:p>
    <w:p w14:paraId="F8000000">
      <w:pPr>
        <w:pStyle w:val="Style_5"/>
        <w:spacing w:after="0"/>
        <w:ind w:firstLine="690"/>
        <w:jc w:val="both"/>
      </w:pPr>
      <w:r>
        <w:rPr>
          <w:sz w:val="28"/>
        </w:rPr>
        <w:t>Среднегодовая численность постоянного населения в 2017 году – 27,9 тыс. человек, в 2018 году – 27,2 тыс. человек, в 2019 году – 26,6 тыс. человек.</w:t>
      </w:r>
    </w:p>
    <w:p w14:paraId="F9000000">
      <w:pPr>
        <w:pStyle w:val="Style_5"/>
        <w:spacing w:after="0"/>
        <w:ind w:firstLine="690"/>
        <w:jc w:val="both"/>
      </w:pPr>
      <w:r>
        <w:rPr>
          <w:sz w:val="28"/>
        </w:rPr>
        <w:t xml:space="preserve">Показатели 2016-2018 годов сформированы с учетом статистических данных и свидетельствуют о снижении уровня численности населения в Песчанокопском районе. </w:t>
      </w:r>
    </w:p>
    <w:p w14:paraId="FA000000">
      <w:pPr>
        <w:pStyle w:val="Style_5"/>
        <w:spacing w:after="0"/>
        <w:ind w:firstLine="690"/>
        <w:jc w:val="both"/>
      </w:pPr>
      <w:r>
        <w:rPr>
          <w:sz w:val="28"/>
        </w:rPr>
        <w:t>Отмечается снижение показателя в 2019 году по сравнению с 2017 годом вследствие внутренней миграции населения (сезонная миграция, урбанизация), а также сохраняющейся тенденции превышения смертности над рождаемостью.</w:t>
      </w:r>
    </w:p>
    <w:p w14:paraId="FB000000">
      <w:pPr>
        <w:pStyle w:val="Style_5"/>
        <w:spacing w:after="0"/>
        <w:ind w:firstLine="690"/>
        <w:jc w:val="both"/>
      </w:pPr>
      <w:r>
        <w:rPr>
          <w:sz w:val="28"/>
        </w:rPr>
        <w:t>Прогнозируемые значения показателя 2020-2022 годов: 2020 год – 26,9 тысяч человек, 2021 год – 27,0 тысяч человек, 2022 год – 27,1 тысяч человек установлены с учетом анализа естественного миграционного движения населения Песчанокопского района и подлежат ежегодной корректировке. Основным инструментом улучшения демографической ситуации является реализация программ «Материнский капитал», предоставление многодетным семьям земельных участков.</w:t>
      </w:r>
    </w:p>
    <w:p w14:paraId="FC000000">
      <w:pPr>
        <w:ind w:firstLine="709"/>
        <w:jc w:val="both"/>
      </w:pPr>
    </w:p>
    <w:p w14:paraId="FD000000">
      <w:pPr>
        <w:pStyle w:val="Style_5"/>
        <w:spacing w:after="0" w:line="360" w:lineRule="auto"/>
        <w:ind w:firstLine="690"/>
        <w:jc w:val="both"/>
      </w:pPr>
      <w:r>
        <w:rPr>
          <w:b w:val="1"/>
          <w:sz w:val="28"/>
        </w:rPr>
        <w:t>IX</w:t>
      </w:r>
      <w:r>
        <w:rPr>
          <w:b w:val="1"/>
          <w:sz w:val="28"/>
        </w:rPr>
        <w:t>. Энергосбережение и повышение энергетической эффективности</w:t>
      </w:r>
    </w:p>
    <w:p w14:paraId="FE000000">
      <w:pPr>
        <w:ind w:firstLine="709"/>
        <w:jc w:val="both"/>
      </w:pPr>
      <w:r>
        <w:rPr>
          <w:b w:val="1"/>
          <w:sz w:val="28"/>
        </w:rPr>
        <w:t>Показатель 39. Удельная величина потребления энергетических ресурсов (электрическая и тепловая энергия, вода, природный газ) в многоквартирных домах.</w:t>
      </w:r>
    </w:p>
    <w:p w14:paraId="FF000000">
      <w:pPr>
        <w:ind w:firstLine="709"/>
        <w:jc w:val="both"/>
        <w:rPr>
          <w:sz w:val="28"/>
        </w:rPr>
      </w:pPr>
    </w:p>
    <w:p w14:paraId="00010000">
      <w:pPr>
        <w:ind w:firstLine="709"/>
        <w:jc w:val="both"/>
      </w:pPr>
      <w:r>
        <w:rPr>
          <w:sz w:val="28"/>
        </w:rPr>
        <w:t>Удельная величина потребления энергетических ресурсов в многоквартирных домах:</w:t>
      </w:r>
    </w:p>
    <w:p w14:paraId="01010000">
      <w:pPr>
        <w:ind w:firstLine="709"/>
        <w:jc w:val="both"/>
      </w:pPr>
      <w:r>
        <w:rPr>
          <w:sz w:val="28"/>
        </w:rPr>
        <w:t>- электр</w:t>
      </w:r>
      <w:r>
        <w:rPr>
          <w:sz w:val="28"/>
        </w:rPr>
        <w:t>ическая энергия составила в 2018</w:t>
      </w:r>
      <w:r>
        <w:rPr>
          <w:sz w:val="28"/>
        </w:rPr>
        <w:t xml:space="preserve"> году –723,00</w:t>
      </w:r>
      <w:r>
        <w:rPr>
          <w:sz w:val="28"/>
        </w:rPr>
        <w:t xml:space="preserve"> кВт/ч на 1 проживающего; в 2019</w:t>
      </w:r>
      <w:r>
        <w:rPr>
          <w:sz w:val="28"/>
        </w:rPr>
        <w:t xml:space="preserve"> году – 723,0</w:t>
      </w:r>
      <w:r>
        <w:rPr>
          <w:sz w:val="28"/>
        </w:rPr>
        <w:t>0 кВт/ч на 1 проживающего; в 2020</w:t>
      </w:r>
      <w:r>
        <w:rPr>
          <w:sz w:val="28"/>
        </w:rPr>
        <w:t xml:space="preserve"> году – 723 кВт/ч на 1 проживающего;</w:t>
      </w:r>
    </w:p>
    <w:p w14:paraId="02010000">
      <w:pPr>
        <w:ind w:firstLine="709"/>
        <w:jc w:val="both"/>
      </w:pPr>
      <w:r>
        <w:rPr>
          <w:sz w:val="28"/>
        </w:rPr>
        <w:t>- тепловая энергия в 201</w:t>
      </w:r>
      <w:r>
        <w:rPr>
          <w:sz w:val="28"/>
        </w:rPr>
        <w:t>8</w:t>
      </w:r>
      <w:r>
        <w:rPr>
          <w:sz w:val="28"/>
        </w:rPr>
        <w:t xml:space="preserve"> году – 0,16 Гкал на 1 кв. метр общей площади; в 201</w:t>
      </w:r>
      <w:r>
        <w:rPr>
          <w:sz w:val="28"/>
        </w:rPr>
        <w:t>9</w:t>
      </w:r>
      <w:r>
        <w:rPr>
          <w:sz w:val="28"/>
        </w:rPr>
        <w:t xml:space="preserve"> году – 0,1 Гкал на</w:t>
      </w:r>
      <w:r>
        <w:rPr>
          <w:sz w:val="28"/>
        </w:rPr>
        <w:t xml:space="preserve"> 1 кв. метр общей площади; в 2020</w:t>
      </w:r>
      <w:r>
        <w:rPr>
          <w:sz w:val="28"/>
        </w:rPr>
        <w:t xml:space="preserve"> году - 0,1 Гкал на 1 кв. метр общей площади;</w:t>
      </w:r>
    </w:p>
    <w:p w14:paraId="03010000">
      <w:pPr>
        <w:ind w:firstLine="709"/>
        <w:jc w:val="both"/>
      </w:pPr>
      <w:r>
        <w:rPr>
          <w:sz w:val="28"/>
        </w:rPr>
        <w:t>- горячая вода отсутствует</w:t>
      </w:r>
    </w:p>
    <w:p w14:paraId="04010000">
      <w:pPr>
        <w:ind w:firstLine="709"/>
        <w:jc w:val="both"/>
      </w:pPr>
      <w:r>
        <w:rPr>
          <w:sz w:val="28"/>
        </w:rPr>
        <w:t>- холодная вода составила в 201</w:t>
      </w:r>
      <w:r>
        <w:rPr>
          <w:sz w:val="28"/>
        </w:rPr>
        <w:t>8</w:t>
      </w:r>
      <w:r>
        <w:rPr>
          <w:sz w:val="28"/>
        </w:rPr>
        <w:t xml:space="preserve"> году – 23,00 куб. </w:t>
      </w:r>
      <w:r>
        <w:rPr>
          <w:sz w:val="28"/>
        </w:rPr>
        <w:t>метров на 1 проживающего; в 2019</w:t>
      </w:r>
      <w:r>
        <w:rPr>
          <w:sz w:val="28"/>
        </w:rPr>
        <w:t xml:space="preserve"> </w:t>
      </w:r>
      <w:r>
        <w:rPr>
          <w:sz w:val="28"/>
        </w:rPr>
        <w:t>году – 23,00 куб. метров; в 2020</w:t>
      </w:r>
      <w:r>
        <w:rPr>
          <w:sz w:val="28"/>
        </w:rPr>
        <w:t xml:space="preserve"> году - 23,00 куб. метров на 1 проживающего;</w:t>
      </w:r>
    </w:p>
    <w:p w14:paraId="05010000">
      <w:pPr>
        <w:ind w:firstLine="709"/>
        <w:jc w:val="both"/>
      </w:pPr>
      <w:r>
        <w:rPr>
          <w:sz w:val="28"/>
        </w:rPr>
        <w:t>- природный газ составил в 2018 году – 900</w:t>
      </w:r>
      <w:r>
        <w:rPr>
          <w:sz w:val="28"/>
        </w:rPr>
        <w:t xml:space="preserve">,0 куб. </w:t>
      </w:r>
      <w:r>
        <w:rPr>
          <w:sz w:val="28"/>
        </w:rPr>
        <w:t>метров на 1 проживающего; в 2019</w:t>
      </w:r>
      <w:r>
        <w:rPr>
          <w:sz w:val="28"/>
        </w:rPr>
        <w:t xml:space="preserve"> году – 900,0 куб. метров на 1 п</w:t>
      </w:r>
      <w:r>
        <w:rPr>
          <w:sz w:val="28"/>
        </w:rPr>
        <w:t>роживающего, в 2020</w:t>
      </w:r>
      <w:r>
        <w:rPr>
          <w:sz w:val="28"/>
        </w:rPr>
        <w:t xml:space="preserve"> году – 900,0 куб. метров на 1 проживающего.</w:t>
      </w:r>
    </w:p>
    <w:p w14:paraId="06010000">
      <w:pPr>
        <w:spacing w:line="240" w:lineRule="auto"/>
        <w:ind w:firstLine="690" w:left="0" w:right="0"/>
        <w:jc w:val="both"/>
        <w:rPr>
          <w:sz w:val="28"/>
        </w:rPr>
      </w:pPr>
      <w:r>
        <w:rPr>
          <w:sz w:val="28"/>
        </w:rPr>
        <w:t xml:space="preserve">Показатели по удельной величине потребления </w:t>
      </w:r>
      <w:r>
        <w:rPr>
          <w:sz w:val="28"/>
        </w:rPr>
        <w:t>энергетических ресурсов за 2020</w:t>
      </w:r>
      <w:r>
        <w:rPr>
          <w:sz w:val="28"/>
        </w:rPr>
        <w:t xml:space="preserve"> год (электрическая и тепловая энергия, вода, природный газ) в многоквартирных домах отражены согласно фактическому потреблению коммунальных ресурсов жителями Песчанокопского района, проживающих в многоквартирных домах. </w:t>
      </w:r>
    </w:p>
    <w:p w14:paraId="07010000">
      <w:pPr>
        <w:spacing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>Благодаря реализации на территории Песчанокопского района Федерального закона от 23.11.2009 № 261-ФЗ «Об энергосбережении и повышении энергетической эффективности», были достигнуты следующие показатели: удельная величина потребления электрической энергии, тепловой энергии, холодной воды, природного газа</w:t>
      </w:r>
      <w:r>
        <w:rPr>
          <w:sz w:val="28"/>
        </w:rPr>
        <w:t xml:space="preserve"> </w:t>
      </w:r>
      <w:r>
        <w:rPr>
          <w:sz w:val="28"/>
        </w:rPr>
        <w:t>остались на прежнем уровне.</w:t>
      </w:r>
    </w:p>
    <w:p w14:paraId="08010000">
      <w:pPr>
        <w:spacing w:line="240" w:lineRule="auto"/>
        <w:ind w:firstLine="690" w:left="0" w:right="0"/>
        <w:jc w:val="both"/>
        <w:rPr>
          <w:sz w:val="28"/>
        </w:rPr>
      </w:pPr>
      <w:r>
        <w:rPr>
          <w:sz w:val="28"/>
        </w:rPr>
        <w:t>В прогнозируемом периоде 2020-2023</w:t>
      </w:r>
      <w:r>
        <w:rPr>
          <w:sz w:val="28"/>
        </w:rPr>
        <w:t xml:space="preserve"> годах будет наблюдаться снижение показателей по электроэнергии за счет выполнения энергосберегающих мероприятий в домах и снижения общедомовых расходов.</w:t>
      </w:r>
    </w:p>
    <w:p w14:paraId="09010000">
      <w:pPr>
        <w:pStyle w:val="Style_7"/>
        <w:ind w:firstLine="690"/>
        <w:rPr>
          <w:sz w:val="28"/>
        </w:rPr>
      </w:pPr>
    </w:p>
    <w:p w14:paraId="0A010000">
      <w:pPr>
        <w:ind w:firstLine="709"/>
        <w:jc w:val="both"/>
      </w:pPr>
      <w:r>
        <w:rPr>
          <w:b w:val="1"/>
          <w:sz w:val="28"/>
        </w:rPr>
        <w:t>Показатель 40. Удельная величина потребления энергетических ресурсов (электрическая и тепловая энергия, вода, природный газ) муниципальными бюджетными учреждениями.</w:t>
      </w:r>
    </w:p>
    <w:p w14:paraId="0B010000">
      <w:pPr>
        <w:ind/>
        <w:jc w:val="both"/>
        <w:rPr>
          <w:b w:val="1"/>
          <w:sz w:val="28"/>
        </w:rPr>
      </w:pPr>
    </w:p>
    <w:p w14:paraId="0C010000">
      <w:pPr>
        <w:ind w:firstLine="709"/>
      </w:pPr>
      <w:r>
        <w:rPr>
          <w:sz w:val="28"/>
        </w:rPr>
        <w:t xml:space="preserve">Удельная величина потребления энергетических ресурсов муниципальными бюджетными учреждениями: </w:t>
      </w:r>
    </w:p>
    <w:p w14:paraId="0D010000">
      <w:pPr>
        <w:ind w:firstLine="709"/>
        <w:jc w:val="both"/>
      </w:pPr>
      <w:r>
        <w:rPr>
          <w:sz w:val="28"/>
        </w:rPr>
        <w:t>- электрическая энергия составила в 201</w:t>
      </w:r>
      <w:r>
        <w:rPr>
          <w:sz w:val="28"/>
        </w:rPr>
        <w:t>8</w:t>
      </w:r>
      <w:r>
        <w:rPr>
          <w:sz w:val="28"/>
        </w:rPr>
        <w:t xml:space="preserve"> году – 72,07</w:t>
      </w:r>
      <w:r>
        <w:rPr>
          <w:sz w:val="28"/>
        </w:rPr>
        <w:t xml:space="preserve"> кВт/ч на 1 проживающего, в 2019</w:t>
      </w:r>
      <w:r>
        <w:rPr>
          <w:sz w:val="28"/>
        </w:rPr>
        <w:t xml:space="preserve"> году – 7</w:t>
      </w:r>
      <w:r>
        <w:rPr>
          <w:sz w:val="28"/>
        </w:rPr>
        <w:t>0,0 кВт/ч на 1 проживающего; в 2020</w:t>
      </w:r>
      <w:r>
        <w:rPr>
          <w:sz w:val="28"/>
        </w:rPr>
        <w:t xml:space="preserve"> году – 70,0 кВт/ч на 1 проживающего;</w:t>
      </w:r>
    </w:p>
    <w:p w14:paraId="0E010000">
      <w:pPr>
        <w:ind w:firstLine="709"/>
        <w:jc w:val="both"/>
      </w:pPr>
      <w:r>
        <w:rPr>
          <w:sz w:val="28"/>
        </w:rPr>
        <w:t>- тепловая энергия составила в 201</w:t>
      </w:r>
      <w:r>
        <w:rPr>
          <w:sz w:val="28"/>
        </w:rPr>
        <w:t>8</w:t>
      </w:r>
      <w:r>
        <w:rPr>
          <w:sz w:val="28"/>
        </w:rPr>
        <w:t xml:space="preserve"> году – 0,1 Гкал на 1 кв. метр общей площади, в 201</w:t>
      </w:r>
      <w:r>
        <w:rPr>
          <w:sz w:val="28"/>
        </w:rPr>
        <w:t>9</w:t>
      </w:r>
      <w:r>
        <w:rPr>
          <w:sz w:val="28"/>
        </w:rPr>
        <w:t xml:space="preserve"> году – 0,1 Гкал на</w:t>
      </w:r>
      <w:r>
        <w:rPr>
          <w:sz w:val="28"/>
        </w:rPr>
        <w:t xml:space="preserve"> 1 кв. метр общей площади, в 2020</w:t>
      </w:r>
      <w:r>
        <w:rPr>
          <w:sz w:val="28"/>
        </w:rPr>
        <w:t xml:space="preserve"> году – 0,1 Гкал на 1 кв. метр общей площади;</w:t>
      </w:r>
    </w:p>
    <w:p w14:paraId="0F010000">
      <w:pPr>
        <w:ind w:firstLine="709"/>
        <w:jc w:val="both"/>
      </w:pPr>
      <w:r>
        <w:rPr>
          <w:sz w:val="28"/>
        </w:rPr>
        <w:t>- горячая вода отсутствует;</w:t>
      </w:r>
    </w:p>
    <w:p w14:paraId="10010000">
      <w:pPr>
        <w:ind w:firstLine="709"/>
        <w:jc w:val="both"/>
      </w:pPr>
      <w:r>
        <w:rPr>
          <w:sz w:val="28"/>
        </w:rPr>
        <w:t>- холодная вода составила в 201</w:t>
      </w:r>
      <w:r>
        <w:rPr>
          <w:sz w:val="28"/>
        </w:rPr>
        <w:t>8</w:t>
      </w:r>
      <w:r>
        <w:rPr>
          <w:sz w:val="28"/>
        </w:rPr>
        <w:t xml:space="preserve"> году – 1,89 куб. метров на 1 проживающего, в 201</w:t>
      </w:r>
      <w:r>
        <w:rPr>
          <w:sz w:val="28"/>
        </w:rPr>
        <w:t>9</w:t>
      </w:r>
      <w:r>
        <w:rPr>
          <w:sz w:val="28"/>
        </w:rPr>
        <w:t xml:space="preserve"> году – 1,89 куб.</w:t>
      </w:r>
      <w:r>
        <w:rPr>
          <w:sz w:val="28"/>
        </w:rPr>
        <w:t xml:space="preserve"> метров на 1 проживающего; в 2020 году - 1,8</w:t>
      </w:r>
      <w:r>
        <w:rPr>
          <w:sz w:val="28"/>
        </w:rPr>
        <w:t xml:space="preserve"> куб. метров на 1 проживающего;</w:t>
      </w:r>
    </w:p>
    <w:p w14:paraId="11010000">
      <w:pPr>
        <w:ind w:firstLine="709"/>
        <w:jc w:val="both"/>
      </w:pPr>
      <w:r>
        <w:rPr>
          <w:sz w:val="28"/>
        </w:rPr>
        <w:t>- природный газ составил в 201</w:t>
      </w:r>
      <w:r>
        <w:rPr>
          <w:sz w:val="28"/>
        </w:rPr>
        <w:t>8</w:t>
      </w:r>
      <w:r>
        <w:rPr>
          <w:sz w:val="28"/>
        </w:rPr>
        <w:t xml:space="preserve"> году – 73,00 куб. метров на 1 проживающего, в 201</w:t>
      </w:r>
      <w:r>
        <w:rPr>
          <w:sz w:val="28"/>
        </w:rPr>
        <w:t>9</w:t>
      </w:r>
      <w:r>
        <w:rPr>
          <w:sz w:val="28"/>
        </w:rPr>
        <w:t xml:space="preserve"> году – 73,00 куб.</w:t>
      </w:r>
      <w:r>
        <w:rPr>
          <w:sz w:val="28"/>
        </w:rPr>
        <w:t xml:space="preserve"> метров на 1 проживающего, в 2020</w:t>
      </w:r>
      <w:r>
        <w:rPr>
          <w:sz w:val="28"/>
        </w:rPr>
        <w:t xml:space="preserve"> году – 23,00 куб. метров на 1 проживающего.</w:t>
      </w:r>
    </w:p>
    <w:p w14:paraId="12010000">
      <w:pPr>
        <w:ind w:firstLine="720"/>
        <w:jc w:val="both"/>
      </w:pPr>
      <w:r>
        <w:rPr>
          <w:sz w:val="28"/>
        </w:rPr>
        <w:t xml:space="preserve">Показатель удельной величины потребления энергетических ресурсов (электрическая и тепловая энергия, холодная вода, природный газ) муниципальными бюджетными учреждениями Песчанокопского района за 2019 год рассчитан с учетом фактических объемов потребления топливно-энергетических ресурсов. </w:t>
      </w:r>
    </w:p>
    <w:p w14:paraId="13010000">
      <w:pPr>
        <w:ind w:firstLine="709"/>
        <w:jc w:val="both"/>
      </w:pPr>
      <w:r>
        <w:rPr>
          <w:sz w:val="28"/>
        </w:rPr>
        <w:t>Прогнозные показатели на 2020-2022 годы рассчитаны в соответствии со статьей 24 Федерального закона № 261-ФЗ «Об энергосбережении и повышение энергетической эффективности на период 2019-2021 годы» с утвержденными лимитами потребления топливно-энергетических ресурсов, и услуг водоснабжения для муниципальных бюджетных организаций на 2018-2020 годы и прогнозируемой численности населения Песчанокопского района.</w:t>
      </w:r>
    </w:p>
    <w:p w14:paraId="14010000">
      <w:pPr>
        <w:ind w:firstLine="709"/>
        <w:jc w:val="both"/>
        <w:rPr>
          <w:b w:val="1"/>
          <w:sz w:val="28"/>
        </w:rPr>
      </w:pPr>
    </w:p>
    <w:p w14:paraId="15010000">
      <w:pPr>
        <w:pStyle w:val="Style_8"/>
        <w:widowControl w:val="1"/>
        <w:ind w:firstLine="690"/>
        <w:jc w:val="both"/>
        <w:rPr>
          <w:rFonts w:ascii="Times New Roman" w:hAnsi="Times New Roman"/>
          <w:b w:val="1"/>
          <w:sz w:val="28"/>
        </w:rPr>
      </w:pPr>
    </w:p>
    <w:p w14:paraId="16010000">
      <w:pPr>
        <w:pStyle w:val="Style_8"/>
        <w:widowControl w:val="1"/>
        <w:ind w:firstLine="690"/>
        <w:jc w:val="both"/>
        <w:rPr>
          <w:rFonts w:ascii="Times New Roman" w:hAnsi="Times New Roman"/>
          <w:b w:val="1"/>
          <w:sz w:val="28"/>
        </w:rPr>
      </w:pPr>
    </w:p>
    <w:p w14:paraId="17010000">
      <w:pPr>
        <w:ind w:firstLine="720"/>
        <w:jc w:val="both"/>
      </w:pPr>
      <w:r>
        <w:rPr>
          <w:sz w:val="28"/>
        </w:rPr>
        <w:t>Глава Администрации</w:t>
      </w:r>
    </w:p>
    <w:p w14:paraId="18010000">
      <w:pPr>
        <w:ind/>
        <w:jc w:val="both"/>
      </w:pPr>
      <w:r>
        <w:rPr>
          <w:sz w:val="28"/>
        </w:rPr>
        <w:t xml:space="preserve">          Песчанокопского района                                                    И.И. Апольский</w:t>
      </w:r>
    </w:p>
    <w:sectPr>
      <w:pgSz w:h="16838" w:w="11906"/>
      <w:pgMar w:bottom="1134" w:footer="720" w:gutter="0" w:header="720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080" w:val="left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leader="none" w:pos="1440" w:val="left"/>
        </w:tabs>
        <w:ind w:hanging="360" w:left="1440"/>
      </w:pPr>
    </w:lvl>
    <w:lvl w:ilvl="3">
      <w:start w:val="6"/>
      <w:numFmt w:val="upperRoman"/>
      <w:lvlText w:val="%4."/>
      <w:lvlJc w:val="left"/>
      <w:pPr>
        <w:tabs>
          <w:tab w:leader="none" w:pos="1800" w:val="left"/>
        </w:tabs>
        <w:ind w:hanging="360" w:left="1800"/>
      </w:pPr>
      <w:rPr>
        <w:b w:val="1"/>
      </w:rPr>
    </w:lvl>
    <w:lvl w:ilvl="4">
      <w:start w:val="1"/>
      <w:numFmt w:val="decimal"/>
      <w:lvlText w:val="%5."/>
      <w:lvlJc w:val="left"/>
      <w:pPr>
        <w:tabs>
          <w:tab w:leader="none" w:pos="2160" w:val="left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leader="none" w:pos="2520" w:val="left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leader="none" w:pos="2880" w:val="left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leader="none" w:pos="3240" w:val="left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leader="none" w:pos="3600" w:val="left"/>
        </w:tabs>
        <w:ind w:hanging="360" w:left="360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rPr>
      <w:sz w:val="24"/>
    </w:rPr>
  </w:style>
  <w:style w:default="1" w:styleId="Style_9_ch" w:type="character">
    <w:name w:val="Normal"/>
    <w:link w:val="Style_9"/>
    <w:rPr>
      <w:sz w:val="24"/>
    </w:rPr>
  </w:style>
  <w:style w:styleId="Style_7" w:type="paragraph">
    <w:name w:val="Основной текст с отступом 21"/>
    <w:basedOn w:val="Style_9"/>
    <w:link w:val="Style_7_ch"/>
    <w:pPr>
      <w:spacing w:after="0" w:before="0" w:line="240" w:lineRule="auto"/>
      <w:ind w:firstLine="720" w:left="0" w:right="0"/>
      <w:jc w:val="both"/>
    </w:pPr>
    <w:rPr>
      <w:rFonts w:ascii="Times New Roman" w:hAnsi="Times New Roman"/>
      <w:b w:val="1"/>
      <w:sz w:val="30"/>
    </w:rPr>
  </w:style>
  <w:style w:styleId="Style_7_ch" w:type="character">
    <w:name w:val="Основной текст с отступом 21"/>
    <w:basedOn w:val="Style_9_ch"/>
    <w:link w:val="Style_7"/>
    <w:rPr>
      <w:rFonts w:ascii="Times New Roman" w:hAnsi="Times New Roman"/>
      <w:b w:val="1"/>
      <w:sz w:val="30"/>
    </w:rPr>
  </w:style>
  <w:style w:styleId="Style_10" w:type="paragraph">
    <w:name w:val="toc 2"/>
    <w:next w:val="Style_9"/>
    <w:link w:val="Style_10_ch"/>
    <w:uiPriority w:val="39"/>
    <w:pPr>
      <w:ind w:firstLine="0" w:left="200"/>
    </w:pPr>
  </w:style>
  <w:style w:styleId="Style_10_ch" w:type="character">
    <w:name w:val="toc 2"/>
    <w:link w:val="Style_10"/>
  </w:style>
  <w:style w:styleId="Style_8" w:type="paragraph">
    <w:name w:val="ConsPlusNonformat"/>
    <w:link w:val="Style_8_ch"/>
    <w:pPr>
      <w:widowControl w:val="0"/>
      <w:ind/>
    </w:pPr>
    <w:rPr>
      <w:rFonts w:ascii="Courier New" w:hAnsi="Courier New"/>
    </w:rPr>
  </w:style>
  <w:style w:styleId="Style_8_ch" w:type="character">
    <w:name w:val="ConsPlusNonformat"/>
    <w:link w:val="Style_8"/>
    <w:rPr>
      <w:rFonts w:ascii="Courier New" w:hAnsi="Courier New"/>
    </w:rPr>
  </w:style>
  <w:style w:styleId="Style_11" w:type="paragraph">
    <w:name w:val="List"/>
    <w:basedOn w:val="Style_5"/>
    <w:link w:val="Style_11_ch"/>
    <w:rPr>
      <w:rFonts w:ascii="Arial" w:hAnsi="Arial"/>
    </w:rPr>
  </w:style>
  <w:style w:styleId="Style_11_ch" w:type="character">
    <w:name w:val="List"/>
    <w:basedOn w:val="Style_5_ch"/>
    <w:link w:val="Style_11"/>
    <w:rPr>
      <w:rFonts w:ascii="Arial" w:hAnsi="Arial"/>
    </w:rPr>
  </w:style>
  <w:style w:styleId="Style_12" w:type="paragraph">
    <w:name w:val="WW8Num1z8"/>
    <w:link w:val="Style_12_ch"/>
  </w:style>
  <w:style w:styleId="Style_12_ch" w:type="character">
    <w:name w:val="WW8Num1z8"/>
    <w:link w:val="Style_12"/>
  </w:style>
  <w:style w:styleId="Style_13" w:type="paragraph">
    <w:name w:val="WW-Absatz-Standardschriftart1111111"/>
    <w:link w:val="Style_13_ch"/>
  </w:style>
  <w:style w:styleId="Style_13_ch" w:type="character">
    <w:name w:val="WW-Absatz-Standardschriftart1111111"/>
    <w:link w:val="Style_13"/>
  </w:style>
  <w:style w:styleId="Style_14" w:type="paragraph">
    <w:name w:val="Символ нумерации"/>
    <w:link w:val="Style_14_ch"/>
    <w:rPr>
      <w:b w:val="1"/>
    </w:rPr>
  </w:style>
  <w:style w:styleId="Style_14_ch" w:type="character">
    <w:name w:val="Символ нумерации"/>
    <w:link w:val="Style_14"/>
    <w:rPr>
      <w:b w:val="1"/>
    </w:rPr>
  </w:style>
  <w:style w:styleId="Style_15" w:type="paragraph">
    <w:name w:val="Название2"/>
    <w:basedOn w:val="Style_9"/>
    <w:link w:val="Style_15_ch"/>
    <w:pPr>
      <w:spacing w:after="120" w:before="120"/>
      <w:ind/>
    </w:pPr>
    <w:rPr>
      <w:rFonts w:ascii="Arial" w:hAnsi="Arial"/>
      <w:i w:val="1"/>
      <w:sz w:val="20"/>
    </w:rPr>
  </w:style>
  <w:style w:styleId="Style_15_ch" w:type="character">
    <w:name w:val="Название2"/>
    <w:basedOn w:val="Style_9_ch"/>
    <w:link w:val="Style_15"/>
    <w:rPr>
      <w:rFonts w:ascii="Arial" w:hAnsi="Arial"/>
      <w:i w:val="1"/>
      <w:sz w:val="20"/>
    </w:rPr>
  </w:style>
  <w:style w:styleId="Style_16" w:type="paragraph">
    <w:name w:val="toc 4"/>
    <w:next w:val="Style_9"/>
    <w:link w:val="Style_16_ch"/>
    <w:uiPriority w:val="39"/>
    <w:pPr>
      <w:ind w:firstLine="0" w:left="600"/>
    </w:pPr>
  </w:style>
  <w:style w:styleId="Style_16_ch" w:type="character">
    <w:name w:val="toc 4"/>
    <w:link w:val="Style_16"/>
  </w:style>
  <w:style w:styleId="Style_17" w:type="paragraph">
    <w:name w:val="WW8Num3z2"/>
    <w:link w:val="Style_17_ch"/>
  </w:style>
  <w:style w:styleId="Style_17_ch" w:type="character">
    <w:name w:val="WW8Num3z2"/>
    <w:link w:val="Style_17"/>
  </w:style>
  <w:style w:styleId="Style_18" w:type="paragraph">
    <w:name w:val="Основной шрифт абзаца2"/>
    <w:link w:val="Style_18_ch"/>
  </w:style>
  <w:style w:styleId="Style_18_ch" w:type="character">
    <w:name w:val="Основной шрифт абзаца2"/>
    <w:link w:val="Style_18"/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6"/>
    <w:next w:val="Style_9"/>
    <w:link w:val="Style_20_ch"/>
    <w:uiPriority w:val="39"/>
    <w:pPr>
      <w:ind w:firstLine="0" w:left="1000"/>
    </w:pPr>
  </w:style>
  <w:style w:styleId="Style_20_ch" w:type="character">
    <w:name w:val="toc 6"/>
    <w:link w:val="Style_20"/>
  </w:style>
  <w:style w:styleId="Style_21" w:type="paragraph">
    <w:name w:val="toc 7"/>
    <w:next w:val="Style_9"/>
    <w:link w:val="Style_21_ch"/>
    <w:uiPriority w:val="39"/>
    <w:pPr>
      <w:ind w:firstLine="0" w:left="1200"/>
    </w:pPr>
  </w:style>
  <w:style w:styleId="Style_21_ch" w:type="character">
    <w:name w:val="toc 7"/>
    <w:link w:val="Style_21"/>
  </w:style>
  <w:style w:styleId="Style_22" w:type="paragraph">
    <w:name w:val="WW8Num2z0"/>
    <w:link w:val="Style_22_ch"/>
  </w:style>
  <w:style w:styleId="Style_22_ch" w:type="character">
    <w:name w:val="WW8Num2z0"/>
    <w:link w:val="Style_22"/>
  </w:style>
  <w:style w:styleId="Style_23" w:type="paragraph">
    <w:name w:val="WW-Absatz-Standardschriftart11111111"/>
    <w:link w:val="Style_23_ch"/>
  </w:style>
  <w:style w:styleId="Style_23_ch" w:type="character">
    <w:name w:val="WW-Absatz-Standardschriftart11111111"/>
    <w:link w:val="Style_23"/>
  </w:style>
  <w:style w:styleId="Style_24" w:type="paragraph">
    <w:name w:val="WW-Absatz-Standardschriftart1111"/>
    <w:link w:val="Style_24_ch"/>
  </w:style>
  <w:style w:styleId="Style_24_ch" w:type="character">
    <w:name w:val="WW-Absatz-Standardschriftart1111"/>
    <w:link w:val="Style_24"/>
  </w:style>
  <w:style w:styleId="Style_25" w:type="paragraph">
    <w:name w:val="heading 3"/>
    <w:next w:val="Style_9"/>
    <w:link w:val="Style_25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25_ch" w:type="character">
    <w:name w:val="heading 3"/>
    <w:link w:val="Style_25"/>
    <w:rPr>
      <w:rFonts w:ascii="XO Thames" w:hAnsi="XO Thames"/>
      <w:b w:val="1"/>
      <w:i w:val="1"/>
      <w:color w:val="000000"/>
    </w:rPr>
  </w:style>
  <w:style w:styleId="Style_26" w:type="paragraph">
    <w:name w:val="WW8Num3z8"/>
    <w:link w:val="Style_26_ch"/>
  </w:style>
  <w:style w:styleId="Style_26_ch" w:type="character">
    <w:name w:val="WW8Num3z8"/>
    <w:link w:val="Style_26"/>
  </w:style>
  <w:style w:styleId="Style_27" w:type="paragraph">
    <w:name w:val="Указатель1"/>
    <w:basedOn w:val="Style_9"/>
    <w:link w:val="Style_27_ch"/>
    <w:rPr>
      <w:rFonts w:ascii="Arial" w:hAnsi="Arial"/>
    </w:rPr>
  </w:style>
  <w:style w:styleId="Style_27_ch" w:type="character">
    <w:name w:val="Указатель1"/>
    <w:basedOn w:val="Style_9_ch"/>
    <w:link w:val="Style_27"/>
    <w:rPr>
      <w:rFonts w:ascii="Arial" w:hAnsi="Arial"/>
    </w:rPr>
  </w:style>
  <w:style w:styleId="Style_28" w:type="paragraph">
    <w:name w:val="WW8Num1z7"/>
    <w:link w:val="Style_28_ch"/>
  </w:style>
  <w:style w:styleId="Style_28_ch" w:type="character">
    <w:name w:val="WW8Num1z7"/>
    <w:link w:val="Style_28"/>
  </w:style>
  <w:style w:styleId="Style_29" w:type="paragraph">
    <w:name w:val="WW8Num3z5"/>
    <w:link w:val="Style_29_ch"/>
  </w:style>
  <w:style w:styleId="Style_29_ch" w:type="character">
    <w:name w:val="WW8Num3z5"/>
    <w:link w:val="Style_29"/>
  </w:style>
  <w:style w:styleId="Style_30" w:type="paragraph">
    <w:name w:val="Заголовок"/>
    <w:basedOn w:val="Style_9"/>
    <w:next w:val="Style_5"/>
    <w:link w:val="Style_30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30_ch" w:type="character">
    <w:name w:val="Заголовок"/>
    <w:basedOn w:val="Style_9_ch"/>
    <w:link w:val="Style_30"/>
    <w:rPr>
      <w:rFonts w:ascii="Liberation Sans" w:hAnsi="Liberation Sans"/>
      <w:sz w:val="28"/>
    </w:rPr>
  </w:style>
  <w:style w:styleId="Style_31" w:type="paragraph">
    <w:name w:val="WW-Absatz-Standardschriftart1111111111"/>
    <w:link w:val="Style_31_ch"/>
  </w:style>
  <w:style w:styleId="Style_31_ch" w:type="character">
    <w:name w:val="WW-Absatz-Standardschriftart1111111111"/>
    <w:link w:val="Style_31"/>
  </w:style>
  <w:style w:styleId="Style_32" w:type="paragraph">
    <w:name w:val="WW-Absatz-Standardschriftart1111111111111"/>
    <w:link w:val="Style_32_ch"/>
  </w:style>
  <w:style w:styleId="Style_32_ch" w:type="character">
    <w:name w:val="WW-Absatz-Standardschriftart1111111111111"/>
    <w:link w:val="Style_32"/>
  </w:style>
  <w:style w:styleId="Style_33" w:type="paragraph">
    <w:name w:val="WW-Absatz-Standardschriftart111"/>
    <w:link w:val="Style_33_ch"/>
  </w:style>
  <w:style w:styleId="Style_33_ch" w:type="character">
    <w:name w:val="WW-Absatz-Standardschriftart111"/>
    <w:link w:val="Style_33"/>
  </w:style>
  <w:style w:styleId="Style_34" w:type="paragraph">
    <w:name w:val="Указатель3"/>
    <w:basedOn w:val="Style_9"/>
    <w:link w:val="Style_34_ch"/>
  </w:style>
  <w:style w:styleId="Style_34_ch" w:type="character">
    <w:name w:val="Указатель3"/>
    <w:basedOn w:val="Style_9_ch"/>
    <w:link w:val="Style_34"/>
  </w:style>
  <w:style w:styleId="Style_35" w:type="paragraph">
    <w:name w:val="Основной текст с отступом 22"/>
    <w:basedOn w:val="Style_9"/>
    <w:link w:val="Style_35_ch"/>
    <w:pPr>
      <w:spacing w:line="360" w:lineRule="auto"/>
      <w:ind w:firstLine="709" w:left="0" w:right="0"/>
      <w:jc w:val="both"/>
    </w:pPr>
    <w:rPr>
      <w:sz w:val="28"/>
    </w:rPr>
  </w:style>
  <w:style w:styleId="Style_35_ch" w:type="character">
    <w:name w:val="Основной текст с отступом 22"/>
    <w:basedOn w:val="Style_9_ch"/>
    <w:link w:val="Style_35"/>
    <w:rPr>
      <w:sz w:val="28"/>
    </w:rPr>
  </w:style>
  <w:style w:styleId="Style_36" w:type="paragraph">
    <w:name w:val="Указатель5"/>
    <w:basedOn w:val="Style_9"/>
    <w:link w:val="Style_36_ch"/>
  </w:style>
  <w:style w:styleId="Style_36_ch" w:type="character">
    <w:name w:val="Указатель5"/>
    <w:basedOn w:val="Style_9_ch"/>
    <w:link w:val="Style_36"/>
  </w:style>
  <w:style w:styleId="Style_37" w:type="paragraph">
    <w:name w:val="WW8Num3z1"/>
    <w:link w:val="Style_37_ch"/>
  </w:style>
  <w:style w:styleId="Style_37_ch" w:type="character">
    <w:name w:val="WW8Num3z1"/>
    <w:link w:val="Style_37"/>
  </w:style>
  <w:style w:styleId="Style_38" w:type="paragraph">
    <w:name w:val="Указатель2"/>
    <w:basedOn w:val="Style_9"/>
    <w:link w:val="Style_38_ch"/>
    <w:rPr>
      <w:rFonts w:ascii="Arial" w:hAnsi="Arial"/>
    </w:rPr>
  </w:style>
  <w:style w:styleId="Style_38_ch" w:type="character">
    <w:name w:val="Указатель2"/>
    <w:basedOn w:val="Style_9_ch"/>
    <w:link w:val="Style_38"/>
    <w:rPr>
      <w:rFonts w:ascii="Arial" w:hAnsi="Arial"/>
    </w:rPr>
  </w:style>
  <w:style w:styleId="Style_39" w:type="paragraph">
    <w:name w:val="Основной шрифт абзаца1"/>
    <w:link w:val="Style_39_ch"/>
  </w:style>
  <w:style w:styleId="Style_39_ch" w:type="character">
    <w:name w:val="Основной шрифт абзаца1"/>
    <w:link w:val="Style_39"/>
  </w:style>
  <w:style w:styleId="Style_40" w:type="paragraph">
    <w:name w:val="WW8Num2z4"/>
    <w:link w:val="Style_40_ch"/>
  </w:style>
  <w:style w:styleId="Style_40_ch" w:type="character">
    <w:name w:val="WW8Num2z4"/>
    <w:link w:val="Style_40"/>
  </w:style>
  <w:style w:styleId="Style_41" w:type="paragraph">
    <w:name w:val="WW8Num2z8"/>
    <w:link w:val="Style_41_ch"/>
  </w:style>
  <w:style w:styleId="Style_41_ch" w:type="character">
    <w:name w:val="WW8Num2z8"/>
    <w:link w:val="Style_41"/>
  </w:style>
  <w:style w:styleId="Style_42" w:type="paragraph">
    <w:name w:val="Основной шрифт абзаца3"/>
    <w:link w:val="Style_42_ch"/>
  </w:style>
  <w:style w:styleId="Style_42_ch" w:type="character">
    <w:name w:val="Основной шрифт абзаца3"/>
    <w:link w:val="Style_42"/>
  </w:style>
  <w:style w:styleId="Style_43" w:type="paragraph">
    <w:name w:val="Указатель4"/>
    <w:basedOn w:val="Style_9"/>
    <w:link w:val="Style_43_ch"/>
  </w:style>
  <w:style w:styleId="Style_43_ch" w:type="character">
    <w:name w:val="Указатель4"/>
    <w:basedOn w:val="Style_9_ch"/>
    <w:link w:val="Style_43"/>
  </w:style>
  <w:style w:styleId="Style_44" w:type="paragraph">
    <w:name w:val="WW-Absatz-Standardschriftart1"/>
    <w:link w:val="Style_44_ch"/>
  </w:style>
  <w:style w:styleId="Style_44_ch" w:type="character">
    <w:name w:val="WW-Absatz-Standardschriftart1"/>
    <w:link w:val="Style_44"/>
  </w:style>
  <w:style w:styleId="Style_1" w:type="paragraph">
    <w:name w:val="Style3"/>
    <w:basedOn w:val="Style_9"/>
    <w:link w:val="Style_1_ch"/>
    <w:pPr>
      <w:widowControl w:val="0"/>
      <w:spacing w:line="324" w:lineRule="exact"/>
      <w:ind w:firstLine="619" w:left="0" w:right="0"/>
      <w:jc w:val="both"/>
    </w:pPr>
    <w:rPr>
      <w:sz w:val="24"/>
    </w:rPr>
  </w:style>
  <w:style w:styleId="Style_1_ch" w:type="character">
    <w:name w:val="Style3"/>
    <w:basedOn w:val="Style_9_ch"/>
    <w:link w:val="Style_1"/>
    <w:rPr>
      <w:sz w:val="24"/>
    </w:rPr>
  </w:style>
  <w:style w:styleId="Style_45" w:type="paragraph">
    <w:name w:val="WW-Absatz-Standardschriftart11"/>
    <w:link w:val="Style_45_ch"/>
  </w:style>
  <w:style w:styleId="Style_45_ch" w:type="character">
    <w:name w:val="WW-Absatz-Standardschriftart11"/>
    <w:link w:val="Style_45"/>
  </w:style>
  <w:style w:styleId="Style_46" w:type="paragraph">
    <w:name w:val="WW-Absatz-Standardschriftart111111"/>
    <w:link w:val="Style_46_ch"/>
  </w:style>
  <w:style w:styleId="Style_46_ch" w:type="character">
    <w:name w:val="WW-Absatz-Standardschriftart111111"/>
    <w:link w:val="Style_46"/>
  </w:style>
  <w:style w:styleId="Style_47" w:type="paragraph">
    <w:name w:val="toc 3"/>
    <w:next w:val="Style_9"/>
    <w:link w:val="Style_47_ch"/>
    <w:uiPriority w:val="39"/>
    <w:pPr>
      <w:ind w:firstLine="0" w:left="400"/>
    </w:pPr>
  </w:style>
  <w:style w:styleId="Style_47_ch" w:type="character">
    <w:name w:val="toc 3"/>
    <w:link w:val="Style_47"/>
  </w:style>
  <w:style w:styleId="Style_48" w:type="paragraph">
    <w:name w:val="Font Style28"/>
    <w:link w:val="Style_48_ch"/>
    <w:rPr>
      <w:rFonts w:ascii="Times New Roman" w:hAnsi="Times New Roman"/>
      <w:sz w:val="14"/>
    </w:rPr>
  </w:style>
  <w:style w:styleId="Style_48_ch" w:type="character">
    <w:name w:val="Font Style28"/>
    <w:link w:val="Style_48"/>
    <w:rPr>
      <w:rFonts w:ascii="Times New Roman" w:hAnsi="Times New Roman"/>
      <w:sz w:val="14"/>
    </w:rPr>
  </w:style>
  <w:style w:styleId="Style_49" w:type="paragraph">
    <w:name w:val="Основной шрифт абзаца5"/>
    <w:link w:val="Style_49_ch"/>
  </w:style>
  <w:style w:styleId="Style_49_ch" w:type="character">
    <w:name w:val="Основной шрифт абзаца5"/>
    <w:link w:val="Style_49"/>
  </w:style>
  <w:style w:styleId="Style_50" w:type="paragraph">
    <w:name w:val="WW8Num3z6"/>
    <w:link w:val="Style_50_ch"/>
  </w:style>
  <w:style w:styleId="Style_50_ch" w:type="character">
    <w:name w:val="WW8Num3z6"/>
    <w:link w:val="Style_50"/>
  </w:style>
  <w:style w:styleId="Style_51" w:type="paragraph">
    <w:name w:val="WW8Num1z5"/>
    <w:link w:val="Style_51_ch"/>
  </w:style>
  <w:style w:styleId="Style_51_ch" w:type="character">
    <w:name w:val="WW8Num1z5"/>
    <w:link w:val="Style_51"/>
  </w:style>
  <w:style w:styleId="Style_52" w:type="paragraph">
    <w:name w:val="Body Text Indent"/>
    <w:basedOn w:val="Style_9"/>
    <w:link w:val="Style_52_ch"/>
    <w:pPr>
      <w:numPr>
        <w:ilvl w:val="0"/>
        <w:numId w:val="0"/>
      </w:numPr>
      <w:spacing w:line="360" w:lineRule="auto"/>
      <w:ind w:firstLine="567" w:left="283" w:right="0"/>
      <w:jc w:val="both"/>
    </w:pPr>
    <w:rPr>
      <w:sz w:val="28"/>
    </w:rPr>
  </w:style>
  <w:style w:styleId="Style_52_ch" w:type="character">
    <w:name w:val="Body Text Indent"/>
    <w:basedOn w:val="Style_9_ch"/>
    <w:link w:val="Style_52"/>
    <w:rPr>
      <w:sz w:val="28"/>
    </w:rPr>
  </w:style>
  <w:style w:styleId="Style_53" w:type="paragraph">
    <w:name w:val="Absatz-Standardschriftart"/>
    <w:link w:val="Style_53_ch"/>
  </w:style>
  <w:style w:styleId="Style_53_ch" w:type="character">
    <w:name w:val="Absatz-Standardschriftart"/>
    <w:link w:val="Style_53"/>
  </w:style>
  <w:style w:styleId="Style_54" w:type="paragraph">
    <w:name w:val="WW-Absatz-Standardschriftart11111"/>
    <w:link w:val="Style_54_ch"/>
  </w:style>
  <w:style w:styleId="Style_54_ch" w:type="character">
    <w:name w:val="WW-Absatz-Standardschriftart11111"/>
    <w:link w:val="Style_54"/>
  </w:style>
  <w:style w:styleId="Style_55" w:type="paragraph">
    <w:name w:val="ConsPlusTitle"/>
    <w:link w:val="Style_55_ch"/>
    <w:pPr>
      <w:widowControl w:val="0"/>
      <w:ind/>
    </w:pPr>
    <w:rPr>
      <w:b w:val="1"/>
      <w:sz w:val="28"/>
    </w:rPr>
  </w:style>
  <w:style w:styleId="Style_55_ch" w:type="character">
    <w:name w:val="ConsPlusTitle"/>
    <w:link w:val="Style_55"/>
    <w:rPr>
      <w:b w:val="1"/>
      <w:sz w:val="28"/>
    </w:rPr>
  </w:style>
  <w:style w:styleId="Style_56" w:type="paragraph">
    <w:name w:val="WW8Num2z5"/>
    <w:link w:val="Style_56_ch"/>
  </w:style>
  <w:style w:styleId="Style_56_ch" w:type="character">
    <w:name w:val="WW8Num2z5"/>
    <w:link w:val="Style_56"/>
  </w:style>
  <w:style w:styleId="Style_57" w:type="paragraph">
    <w:name w:val="WW8Num2z6"/>
    <w:link w:val="Style_57_ch"/>
  </w:style>
  <w:style w:styleId="Style_57_ch" w:type="character">
    <w:name w:val="WW8Num2z6"/>
    <w:link w:val="Style_57"/>
  </w:style>
  <w:style w:styleId="Style_58" w:type="paragraph">
    <w:name w:val="heading 5"/>
    <w:next w:val="Style_9"/>
    <w:link w:val="Style_5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58_ch" w:type="character">
    <w:name w:val="heading 5"/>
    <w:link w:val="Style_58"/>
    <w:rPr>
      <w:rFonts w:ascii="XO Thames" w:hAnsi="XO Thames"/>
      <w:b w:val="1"/>
      <w:color w:val="000000"/>
      <w:sz w:val="22"/>
    </w:rPr>
  </w:style>
  <w:style w:styleId="Style_59" w:type="paragraph">
    <w:name w:val="Основной шрифт абзаца6"/>
    <w:link w:val="Style_59_ch"/>
  </w:style>
  <w:style w:styleId="Style_59_ch" w:type="character">
    <w:name w:val="Основной шрифт абзаца6"/>
    <w:link w:val="Style_59"/>
  </w:style>
  <w:style w:styleId="Style_60" w:type="paragraph">
    <w:name w:val="heading 1"/>
    <w:next w:val="Style_9"/>
    <w:link w:val="Style_6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60_ch" w:type="character">
    <w:name w:val="heading 1"/>
    <w:link w:val="Style_60"/>
    <w:rPr>
      <w:rFonts w:ascii="XO Thames" w:hAnsi="XO Thames"/>
      <w:b w:val="1"/>
      <w:sz w:val="32"/>
    </w:rPr>
  </w:style>
  <w:style w:styleId="Style_61" w:type="paragraph">
    <w:name w:val="Hyperlink"/>
    <w:link w:val="Style_61_ch"/>
    <w:rPr>
      <w:color w:val="000080"/>
      <w:u w:val="single"/>
    </w:rPr>
  </w:style>
  <w:style w:styleId="Style_61_ch" w:type="character">
    <w:name w:val="Hyperlink"/>
    <w:link w:val="Style_61"/>
    <w:rPr>
      <w:color w:val="000080"/>
      <w:u w:val="single"/>
    </w:rPr>
  </w:style>
  <w:style w:styleId="Style_62" w:type="paragraph">
    <w:name w:val="Footnote"/>
    <w:link w:val="Style_62_ch"/>
    <w:pPr>
      <w:ind/>
      <w:jc w:val="left"/>
    </w:pPr>
    <w:rPr>
      <w:rFonts w:ascii="XO Thames" w:hAnsi="XO Thames"/>
      <w:sz w:val="22"/>
    </w:rPr>
  </w:style>
  <w:style w:styleId="Style_62_ch" w:type="character">
    <w:name w:val="Footnote"/>
    <w:link w:val="Style_62"/>
    <w:rPr>
      <w:rFonts w:ascii="XO Thames" w:hAnsi="XO Thames"/>
      <w:sz w:val="22"/>
    </w:rPr>
  </w:style>
  <w:style w:styleId="Style_63" w:type="paragraph">
    <w:name w:val="WW8Num1z1"/>
    <w:link w:val="Style_63_ch"/>
  </w:style>
  <w:style w:styleId="Style_63_ch" w:type="character">
    <w:name w:val="WW8Num1z1"/>
    <w:link w:val="Style_63"/>
  </w:style>
  <w:style w:styleId="Style_64" w:type="paragraph">
    <w:name w:val="toc 1"/>
    <w:next w:val="Style_9"/>
    <w:link w:val="Style_64_ch"/>
    <w:uiPriority w:val="39"/>
    <w:pPr>
      <w:ind w:firstLine="0" w:left="0"/>
    </w:pPr>
    <w:rPr>
      <w:rFonts w:ascii="XO Thames" w:hAnsi="XO Thames"/>
      <w:b w:val="1"/>
    </w:rPr>
  </w:style>
  <w:style w:styleId="Style_64_ch" w:type="character">
    <w:name w:val="toc 1"/>
    <w:link w:val="Style_64"/>
    <w:rPr>
      <w:rFonts w:ascii="XO Thames" w:hAnsi="XO Thames"/>
      <w:b w:val="1"/>
    </w:rPr>
  </w:style>
  <w:style w:styleId="Style_65" w:type="paragraph">
    <w:name w:val="Header and Footer"/>
    <w:link w:val="Style_65_ch"/>
    <w:pPr>
      <w:spacing w:line="360" w:lineRule="auto"/>
      <w:ind/>
    </w:pPr>
    <w:rPr>
      <w:rFonts w:ascii="XO Thames" w:hAnsi="XO Thames"/>
      <w:sz w:val="20"/>
    </w:rPr>
  </w:style>
  <w:style w:styleId="Style_65_ch" w:type="character">
    <w:name w:val="Header and Footer"/>
    <w:link w:val="Style_65"/>
    <w:rPr>
      <w:rFonts w:ascii="XO Thames" w:hAnsi="XO Thames"/>
      <w:sz w:val="20"/>
    </w:rPr>
  </w:style>
  <w:style w:styleId="Style_4" w:type="paragraph">
    <w:name w:val="No Spacing"/>
    <w:link w:val="Style_4_ch"/>
    <w:rPr>
      <w:rFonts w:ascii="Calibri" w:hAnsi="Calibri"/>
      <w:sz w:val="22"/>
    </w:rPr>
  </w:style>
  <w:style w:styleId="Style_4_ch" w:type="character">
    <w:name w:val="No Spacing"/>
    <w:link w:val="Style_4"/>
    <w:rPr>
      <w:rFonts w:ascii="Calibri" w:hAnsi="Calibri"/>
      <w:sz w:val="22"/>
    </w:rPr>
  </w:style>
  <w:style w:styleId="Style_66" w:type="paragraph">
    <w:name w:val="caption"/>
    <w:basedOn w:val="Style_9"/>
    <w:link w:val="Style_66_ch"/>
    <w:pPr>
      <w:spacing w:after="120" w:before="120"/>
      <w:ind/>
    </w:pPr>
    <w:rPr>
      <w:i w:val="1"/>
      <w:sz w:val="24"/>
    </w:rPr>
  </w:style>
  <w:style w:styleId="Style_66_ch" w:type="character">
    <w:name w:val="caption"/>
    <w:basedOn w:val="Style_9_ch"/>
    <w:link w:val="Style_66"/>
    <w:rPr>
      <w:i w:val="1"/>
      <w:sz w:val="24"/>
    </w:rPr>
  </w:style>
  <w:style w:styleId="Style_67" w:type="paragraph">
    <w:name w:val="Заголовок1"/>
    <w:basedOn w:val="Style_9"/>
    <w:next w:val="Style_5"/>
    <w:link w:val="Style_67_ch"/>
    <w:pPr>
      <w:keepNext w:val="1"/>
      <w:spacing w:after="120" w:before="240"/>
      <w:ind/>
    </w:pPr>
    <w:rPr>
      <w:rFonts w:ascii="Arial" w:hAnsi="Arial"/>
      <w:sz w:val="28"/>
    </w:rPr>
  </w:style>
  <w:style w:styleId="Style_67_ch" w:type="character">
    <w:name w:val="Заголовок1"/>
    <w:basedOn w:val="Style_9_ch"/>
    <w:link w:val="Style_67"/>
    <w:rPr>
      <w:rFonts w:ascii="Arial" w:hAnsi="Arial"/>
      <w:sz w:val="28"/>
    </w:rPr>
  </w:style>
  <w:style w:styleId="Style_68" w:type="paragraph">
    <w:name w:val="Верхний колонтитул Знак"/>
    <w:link w:val="Style_68_ch"/>
  </w:style>
  <w:style w:styleId="Style_68_ch" w:type="character">
    <w:name w:val="Верхний колонтитул Знак"/>
    <w:link w:val="Style_68"/>
  </w:style>
  <w:style w:styleId="Style_69" w:type="paragraph">
    <w:name w:val="toc 9"/>
    <w:next w:val="Style_9"/>
    <w:link w:val="Style_69_ch"/>
    <w:uiPriority w:val="39"/>
    <w:pPr>
      <w:ind w:firstLine="0" w:left="1600"/>
    </w:pPr>
  </w:style>
  <w:style w:styleId="Style_69_ch" w:type="character">
    <w:name w:val="toc 9"/>
    <w:link w:val="Style_69"/>
  </w:style>
  <w:style w:styleId="Style_70" w:type="paragraph">
    <w:name w:val="WW8Num1z6"/>
    <w:link w:val="Style_70_ch"/>
  </w:style>
  <w:style w:styleId="Style_70_ch" w:type="character">
    <w:name w:val="WW8Num1z6"/>
    <w:link w:val="Style_70"/>
  </w:style>
  <w:style w:styleId="Style_71" w:type="paragraph">
    <w:name w:val="Маркеры списка"/>
    <w:link w:val="Style_71_ch"/>
    <w:rPr>
      <w:rFonts w:ascii="OpenSymbol" w:hAnsi="OpenSymbol"/>
    </w:rPr>
  </w:style>
  <w:style w:styleId="Style_71_ch" w:type="character">
    <w:name w:val="Маркеры списка"/>
    <w:link w:val="Style_71"/>
    <w:rPr>
      <w:rFonts w:ascii="OpenSymbol" w:hAnsi="OpenSymbol"/>
    </w:rPr>
  </w:style>
  <w:style w:styleId="Style_2" w:type="paragraph">
    <w:name w:val="Нормальный"/>
    <w:link w:val="Style_2_ch"/>
    <w:pPr>
      <w:widowControl w:val="0"/>
      <w:ind/>
    </w:pPr>
  </w:style>
  <w:style w:styleId="Style_2_ch" w:type="character">
    <w:name w:val="Нормальный"/>
    <w:link w:val="Style_2"/>
  </w:style>
  <w:style w:styleId="Style_72" w:type="paragraph">
    <w:name w:val="WW8Num2z3"/>
    <w:link w:val="Style_72_ch"/>
  </w:style>
  <w:style w:styleId="Style_72_ch" w:type="character">
    <w:name w:val="WW8Num2z3"/>
    <w:link w:val="Style_72"/>
  </w:style>
  <w:style w:styleId="Style_73" w:type="paragraph">
    <w:name w:val="WW8Num2z7"/>
    <w:link w:val="Style_73_ch"/>
  </w:style>
  <w:style w:styleId="Style_73_ch" w:type="character">
    <w:name w:val="WW8Num2z7"/>
    <w:link w:val="Style_73"/>
  </w:style>
  <w:style w:styleId="Style_74" w:type="paragraph">
    <w:name w:val="Название4"/>
    <w:basedOn w:val="Style_9"/>
    <w:link w:val="Style_74_ch"/>
    <w:pPr>
      <w:spacing w:after="120" w:before="120"/>
      <w:ind/>
    </w:pPr>
    <w:rPr>
      <w:i w:val="1"/>
      <w:sz w:val="24"/>
    </w:rPr>
  </w:style>
  <w:style w:styleId="Style_74_ch" w:type="character">
    <w:name w:val="Название4"/>
    <w:basedOn w:val="Style_9_ch"/>
    <w:link w:val="Style_74"/>
    <w:rPr>
      <w:i w:val="1"/>
      <w:sz w:val="24"/>
    </w:rPr>
  </w:style>
  <w:style w:styleId="Style_75" w:type="paragraph">
    <w:name w:val="Текст выноски Знак"/>
    <w:link w:val="Style_75_ch"/>
    <w:rPr>
      <w:rFonts w:ascii="Segoe UI" w:hAnsi="Segoe UI"/>
      <w:sz w:val="18"/>
    </w:rPr>
  </w:style>
  <w:style w:styleId="Style_75_ch" w:type="character">
    <w:name w:val="Текст выноски Знак"/>
    <w:link w:val="Style_75"/>
    <w:rPr>
      <w:rFonts w:ascii="Segoe UI" w:hAnsi="Segoe UI"/>
      <w:sz w:val="18"/>
    </w:rPr>
  </w:style>
  <w:style w:styleId="Style_76" w:type="paragraph">
    <w:name w:val="Указатель6"/>
    <w:basedOn w:val="Style_9"/>
    <w:link w:val="Style_76_ch"/>
  </w:style>
  <w:style w:styleId="Style_76_ch" w:type="character">
    <w:name w:val="Указатель6"/>
    <w:basedOn w:val="Style_9_ch"/>
    <w:link w:val="Style_76"/>
  </w:style>
  <w:style w:styleId="Style_77" w:type="paragraph">
    <w:name w:val="WW8Num2z2"/>
    <w:link w:val="Style_77_ch"/>
  </w:style>
  <w:style w:styleId="Style_77_ch" w:type="character">
    <w:name w:val="WW8Num2z2"/>
    <w:link w:val="Style_77"/>
  </w:style>
  <w:style w:styleId="Style_3" w:type="paragraph">
    <w:name w:val="Normal (Web)"/>
    <w:basedOn w:val="Style_9"/>
    <w:link w:val="Style_3_ch"/>
    <w:pPr>
      <w:spacing w:after="280" w:before="280"/>
      <w:ind/>
    </w:pPr>
  </w:style>
  <w:style w:styleId="Style_3_ch" w:type="character">
    <w:name w:val="Normal (Web)"/>
    <w:basedOn w:val="Style_9_ch"/>
    <w:link w:val="Style_3"/>
  </w:style>
  <w:style w:styleId="Style_78" w:type="paragraph">
    <w:name w:val="toc 8"/>
    <w:next w:val="Style_9"/>
    <w:link w:val="Style_78_ch"/>
    <w:uiPriority w:val="39"/>
    <w:pPr>
      <w:ind w:firstLine="0" w:left="1400"/>
    </w:pPr>
  </w:style>
  <w:style w:styleId="Style_78_ch" w:type="character">
    <w:name w:val="toc 8"/>
    <w:link w:val="Style_78"/>
  </w:style>
  <w:style w:styleId="Style_6" w:type="paragraph">
    <w:name w:val="header"/>
    <w:basedOn w:val="Style_9"/>
    <w:link w:val="Style_6_ch"/>
    <w:pPr>
      <w:tabs>
        <w:tab w:leader="none" w:pos="4536" w:val="center"/>
        <w:tab w:leader="none" w:pos="9072" w:val="right"/>
      </w:tabs>
      <w:ind/>
    </w:pPr>
    <w:rPr>
      <w:sz w:val="20"/>
    </w:rPr>
  </w:style>
  <w:style w:styleId="Style_6_ch" w:type="character">
    <w:name w:val="header"/>
    <w:basedOn w:val="Style_9_ch"/>
    <w:link w:val="Style_6"/>
    <w:rPr>
      <w:sz w:val="20"/>
    </w:rPr>
  </w:style>
  <w:style w:styleId="Style_79" w:type="paragraph">
    <w:name w:val="WW8Num3z7"/>
    <w:link w:val="Style_79_ch"/>
  </w:style>
  <w:style w:styleId="Style_79_ch" w:type="character">
    <w:name w:val="WW8Num3z7"/>
    <w:link w:val="Style_79"/>
  </w:style>
  <w:style w:styleId="Style_80" w:type="paragraph">
    <w:name w:val="Основной шрифт абзаца4"/>
    <w:link w:val="Style_80_ch"/>
  </w:style>
  <w:style w:styleId="Style_80_ch" w:type="character">
    <w:name w:val="Основной шрифт абзаца4"/>
    <w:link w:val="Style_80"/>
  </w:style>
  <w:style w:styleId="Style_81" w:type="paragraph">
    <w:name w:val="WW8Num3z0"/>
    <w:link w:val="Style_81_ch"/>
  </w:style>
  <w:style w:styleId="Style_81_ch" w:type="character">
    <w:name w:val="WW8Num3z0"/>
    <w:link w:val="Style_81"/>
  </w:style>
  <w:style w:styleId="Style_82" w:type="paragraph">
    <w:name w:val="toc 5"/>
    <w:next w:val="Style_9"/>
    <w:link w:val="Style_82_ch"/>
    <w:uiPriority w:val="39"/>
    <w:pPr>
      <w:ind w:firstLine="0" w:left="800"/>
    </w:pPr>
  </w:style>
  <w:style w:styleId="Style_82_ch" w:type="character">
    <w:name w:val="toc 5"/>
    <w:link w:val="Style_82"/>
  </w:style>
  <w:style w:styleId="Style_83" w:type="paragraph">
    <w:name w:val="WW8Num2z1"/>
    <w:link w:val="Style_83_ch"/>
  </w:style>
  <w:style w:styleId="Style_83_ch" w:type="character">
    <w:name w:val="WW8Num2z1"/>
    <w:link w:val="Style_83"/>
  </w:style>
  <w:style w:styleId="Style_84" w:type="paragraph">
    <w:name w:val="WW8Num3z4"/>
    <w:link w:val="Style_84_ch"/>
  </w:style>
  <w:style w:styleId="Style_84_ch" w:type="character">
    <w:name w:val="WW8Num3z4"/>
    <w:link w:val="Style_84"/>
  </w:style>
  <w:style w:styleId="Style_85" w:type="paragraph">
    <w:name w:val="WW-Absatz-Standardschriftart11111111111"/>
    <w:link w:val="Style_85_ch"/>
  </w:style>
  <w:style w:styleId="Style_85_ch" w:type="character">
    <w:name w:val="WW-Absatz-Standardschriftart11111111111"/>
    <w:link w:val="Style_85"/>
  </w:style>
  <w:style w:styleId="Style_86" w:type="paragraph">
    <w:name w:val="Название1"/>
    <w:basedOn w:val="Style_9"/>
    <w:link w:val="Style_86_ch"/>
    <w:pPr>
      <w:spacing w:after="120" w:before="120"/>
      <w:ind/>
    </w:pPr>
    <w:rPr>
      <w:rFonts w:ascii="Arial" w:hAnsi="Arial"/>
      <w:i w:val="1"/>
      <w:sz w:val="20"/>
    </w:rPr>
  </w:style>
  <w:style w:styleId="Style_86_ch" w:type="character">
    <w:name w:val="Название1"/>
    <w:basedOn w:val="Style_9_ch"/>
    <w:link w:val="Style_86"/>
    <w:rPr>
      <w:rFonts w:ascii="Arial" w:hAnsi="Arial"/>
      <w:i w:val="1"/>
      <w:sz w:val="20"/>
    </w:rPr>
  </w:style>
  <w:style w:styleId="Style_87" w:type="paragraph">
    <w:name w:val="WW-Absatz-Standardschriftart111111111111"/>
    <w:link w:val="Style_87_ch"/>
  </w:style>
  <w:style w:styleId="Style_87_ch" w:type="character">
    <w:name w:val="WW-Absatz-Standardschriftart111111111111"/>
    <w:link w:val="Style_87"/>
  </w:style>
  <w:style w:styleId="Style_88" w:type="paragraph">
    <w:name w:val="Название3"/>
    <w:basedOn w:val="Style_9"/>
    <w:link w:val="Style_88_ch"/>
    <w:pPr>
      <w:spacing w:after="120" w:before="120"/>
      <w:ind/>
    </w:pPr>
    <w:rPr>
      <w:i w:val="1"/>
      <w:sz w:val="24"/>
    </w:rPr>
  </w:style>
  <w:style w:styleId="Style_88_ch" w:type="character">
    <w:name w:val="Название3"/>
    <w:basedOn w:val="Style_9_ch"/>
    <w:link w:val="Style_88"/>
    <w:rPr>
      <w:i w:val="1"/>
      <w:sz w:val="24"/>
    </w:rPr>
  </w:style>
  <w:style w:styleId="Style_89" w:type="paragraph">
    <w:name w:val="WW-Absatz-Standardschriftart"/>
    <w:link w:val="Style_89_ch"/>
  </w:style>
  <w:style w:styleId="Style_89_ch" w:type="character">
    <w:name w:val="WW-Absatz-Standardschriftart"/>
    <w:link w:val="Style_89"/>
  </w:style>
  <w:style w:styleId="Style_90" w:type="paragraph">
    <w:name w:val="WW8Num1z2"/>
    <w:link w:val="Style_90_ch"/>
  </w:style>
  <w:style w:styleId="Style_90_ch" w:type="character">
    <w:name w:val="WW8Num1z2"/>
    <w:link w:val="Style_90"/>
  </w:style>
  <w:style w:styleId="Style_5" w:type="paragraph">
    <w:name w:val="Body Text"/>
    <w:basedOn w:val="Style_9"/>
    <w:link w:val="Style_5_ch"/>
    <w:pPr>
      <w:spacing w:after="120" w:before="0"/>
      <w:ind/>
    </w:pPr>
  </w:style>
  <w:style w:styleId="Style_5_ch" w:type="character">
    <w:name w:val="Body Text"/>
    <w:basedOn w:val="Style_9_ch"/>
    <w:link w:val="Style_5"/>
  </w:style>
  <w:style w:styleId="Style_91" w:type="paragraph">
    <w:name w:val="WW8Num1z4"/>
    <w:link w:val="Style_91_ch"/>
  </w:style>
  <w:style w:styleId="Style_91_ch" w:type="character">
    <w:name w:val="WW8Num1z4"/>
    <w:link w:val="Style_91"/>
  </w:style>
  <w:style w:styleId="Style_92" w:type="paragraph">
    <w:name w:val="Subtitle"/>
    <w:next w:val="Style_9"/>
    <w:link w:val="Style_92_ch"/>
    <w:uiPriority w:val="11"/>
    <w:qFormat/>
    <w:rPr>
      <w:rFonts w:ascii="XO Thames" w:hAnsi="XO Thames"/>
      <w:i w:val="1"/>
      <w:color w:val="616161"/>
      <w:sz w:val="24"/>
    </w:rPr>
  </w:style>
  <w:style w:styleId="Style_92_ch" w:type="character">
    <w:name w:val="Subtitle"/>
    <w:link w:val="Style_92"/>
    <w:rPr>
      <w:rFonts w:ascii="XO Thames" w:hAnsi="XO Thames"/>
      <w:i w:val="1"/>
      <w:color w:val="616161"/>
      <w:sz w:val="24"/>
    </w:rPr>
  </w:style>
  <w:style w:styleId="Style_93" w:type="paragraph">
    <w:name w:val="toc 10"/>
    <w:next w:val="Style_9"/>
    <w:link w:val="Style_93_ch"/>
    <w:uiPriority w:val="39"/>
    <w:pPr>
      <w:ind w:firstLine="0" w:left="1800"/>
    </w:pPr>
  </w:style>
  <w:style w:styleId="Style_93_ch" w:type="character">
    <w:name w:val="toc 10"/>
    <w:link w:val="Style_93"/>
  </w:style>
  <w:style w:styleId="Style_94" w:type="paragraph">
    <w:name w:val="Title"/>
    <w:next w:val="Style_9"/>
    <w:link w:val="Style_94_ch"/>
    <w:uiPriority w:val="10"/>
    <w:qFormat/>
    <w:rPr>
      <w:rFonts w:ascii="XO Thames" w:hAnsi="XO Thames"/>
      <w:b w:val="1"/>
      <w:sz w:val="52"/>
    </w:rPr>
  </w:style>
  <w:style w:styleId="Style_94_ch" w:type="character">
    <w:name w:val="Title"/>
    <w:link w:val="Style_94"/>
    <w:rPr>
      <w:rFonts w:ascii="XO Thames" w:hAnsi="XO Thames"/>
      <w:b w:val="1"/>
      <w:sz w:val="52"/>
    </w:rPr>
  </w:style>
  <w:style w:styleId="Style_95" w:type="paragraph">
    <w:name w:val="heading 4"/>
    <w:next w:val="Style_9"/>
    <w:link w:val="Style_95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95_ch" w:type="character">
    <w:name w:val="heading 4"/>
    <w:link w:val="Style_95"/>
    <w:rPr>
      <w:rFonts w:ascii="XO Thames" w:hAnsi="XO Thames"/>
      <w:b w:val="1"/>
      <w:color w:val="595959"/>
      <w:sz w:val="26"/>
    </w:rPr>
  </w:style>
  <w:style w:styleId="Style_96" w:type="paragraph">
    <w:name w:val="WW8Num3z3"/>
    <w:link w:val="Style_96_ch"/>
  </w:style>
  <w:style w:styleId="Style_96_ch" w:type="character">
    <w:name w:val="WW8Num3z3"/>
    <w:link w:val="Style_96"/>
  </w:style>
  <w:style w:styleId="Style_97" w:type="paragraph">
    <w:name w:val="heading 2"/>
    <w:next w:val="Style_9"/>
    <w:link w:val="Style_9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97_ch" w:type="character">
    <w:name w:val="heading 2"/>
    <w:link w:val="Style_97"/>
    <w:rPr>
      <w:rFonts w:ascii="XO Thames" w:hAnsi="XO Thames"/>
      <w:b w:val="1"/>
      <w:color w:val="00A0FF"/>
      <w:sz w:val="26"/>
    </w:rPr>
  </w:style>
  <w:style w:styleId="Style_98" w:type="paragraph">
    <w:name w:val="WW-Absatz-Standardschriftart111111111"/>
    <w:link w:val="Style_98_ch"/>
  </w:style>
  <w:style w:styleId="Style_98_ch" w:type="character">
    <w:name w:val="WW-Absatz-Standardschriftart111111111"/>
    <w:link w:val="Style_98"/>
  </w:style>
  <w:style w:styleId="Style_99" w:type="paragraph">
    <w:name w:val="WW8Num1z0"/>
    <w:link w:val="Style_99_ch"/>
  </w:style>
  <w:style w:styleId="Style_99_ch" w:type="character">
    <w:name w:val="WW8Num1z0"/>
    <w:link w:val="Style_99"/>
  </w:style>
  <w:style w:styleId="Style_100" w:type="paragraph">
    <w:name w:val="Balloon Text"/>
    <w:basedOn w:val="Style_9"/>
    <w:link w:val="Style_100_ch"/>
    <w:rPr>
      <w:rFonts w:ascii="Segoe UI" w:hAnsi="Segoe UI"/>
      <w:sz w:val="18"/>
    </w:rPr>
  </w:style>
  <w:style w:styleId="Style_100_ch" w:type="character">
    <w:name w:val="Balloon Text"/>
    <w:basedOn w:val="Style_9_ch"/>
    <w:link w:val="Style_100"/>
    <w:rPr>
      <w:rFonts w:ascii="Segoe UI" w:hAnsi="Segoe UI"/>
      <w:sz w:val="18"/>
    </w:rPr>
  </w:style>
  <w:style w:styleId="Style_101" w:type="paragraph">
    <w:name w:val="WW8Num1z3"/>
    <w:link w:val="Style_101_ch"/>
    <w:rPr>
      <w:b w:val="1"/>
    </w:rPr>
  </w:style>
  <w:style w:styleId="Style_101_ch" w:type="character">
    <w:name w:val="WW8Num1z3"/>
    <w:link w:val="Style_101"/>
    <w:rPr>
      <w:b w:val="1"/>
    </w:rPr>
  </w:style>
  <w:style w:default="1" w:styleId="Style_10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2021-04-23T11:54:26Z</dcterms:modified>
</cp:coreProperties>
</file>