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F6" w:rsidRPr="00232AF6" w:rsidRDefault="00232AF6" w:rsidP="00232AF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C10F714" wp14:editId="31E3B56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232AF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32AF6" w:rsidRPr="00232AF6" w:rsidRDefault="00232AF6" w:rsidP="00232AF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32AF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32AF6" w:rsidRPr="00232AF6" w:rsidRDefault="00232AF6" w:rsidP="00232AF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232AF6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32AF6" w:rsidRPr="00232AF6" w:rsidRDefault="00232AF6" w:rsidP="00232AF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232AF6" w:rsidRPr="00232AF6" w:rsidRDefault="00232AF6" w:rsidP="00232AF6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232AF6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232AF6" w:rsidRPr="00232AF6" w:rsidRDefault="00232AF6" w:rsidP="00232AF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32AF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232AF6" w:rsidRPr="00232AF6" w:rsidRDefault="00232AF6" w:rsidP="00232AF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32AF6" w:rsidRPr="00232AF6" w:rsidTr="00232AF6">
        <w:trPr>
          <w:trHeight w:val="383"/>
        </w:trPr>
        <w:tc>
          <w:tcPr>
            <w:tcW w:w="2235" w:type="dxa"/>
            <w:hideMark/>
          </w:tcPr>
          <w:p w:rsidR="00232AF6" w:rsidRPr="00232AF6" w:rsidRDefault="002C0D16" w:rsidP="00232AF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24.03.2026</w:t>
            </w:r>
          </w:p>
        </w:tc>
        <w:tc>
          <w:tcPr>
            <w:tcW w:w="2268" w:type="dxa"/>
          </w:tcPr>
          <w:p w:rsidR="00232AF6" w:rsidRPr="00232AF6" w:rsidRDefault="00232AF6" w:rsidP="00232AF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32AF6" w:rsidRPr="00232AF6" w:rsidRDefault="00232AF6" w:rsidP="00232AF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32AF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32AF6" w:rsidRPr="00232AF6" w:rsidRDefault="002C0D16" w:rsidP="00232AF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66</w:t>
            </w:r>
          </w:p>
        </w:tc>
        <w:tc>
          <w:tcPr>
            <w:tcW w:w="1315" w:type="dxa"/>
          </w:tcPr>
          <w:p w:rsidR="00232AF6" w:rsidRPr="00232AF6" w:rsidRDefault="00232AF6" w:rsidP="00232AF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32AF6" w:rsidRPr="00232AF6" w:rsidRDefault="00232AF6" w:rsidP="00232AF6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32AF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30BD2" w:rsidRDefault="00232AF6" w:rsidP="00232AF6">
      <w:pPr>
        <w:spacing w:after="0" w:line="240" w:lineRule="auto"/>
        <w:ind w:right="45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отчета о ходе реализации</w:t>
      </w:r>
    </w:p>
    <w:p w:rsidR="00430BD2" w:rsidRDefault="00232AF6" w:rsidP="00232AF6">
      <w:pPr>
        <w:spacing w:after="0" w:line="240" w:lineRule="auto"/>
        <w:ind w:right="45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муниципальной программы  </w:t>
      </w:r>
      <w:proofErr w:type="gramStart"/>
      <w:r>
        <w:rPr>
          <w:rFonts w:ascii="Times New Roman" w:hAnsi="Times New Roman"/>
          <w:sz w:val="28"/>
        </w:rPr>
        <w:t>Песчано-</w:t>
      </w:r>
      <w:proofErr w:type="spellStart"/>
      <w:r>
        <w:rPr>
          <w:rFonts w:ascii="Times New Roman" w:hAnsi="Times New Roman"/>
          <w:sz w:val="28"/>
        </w:rPr>
        <w:t>копского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района «Доступная среда» за 2025 год </w:t>
      </w:r>
    </w:p>
    <w:p w:rsidR="00430BD2" w:rsidRDefault="00232AF6" w:rsidP="00232A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430BD2" w:rsidRDefault="00232AF6" w:rsidP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постановлением Администрации Песчанокопского района от 22.07.2024 года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района» и на основании решения Собрания депутатов Песчанокопского района от 25.12.2025 № 284 «О внесении изменений в решение Собрания депутатов</w:t>
      </w:r>
      <w:proofErr w:type="gramEnd"/>
      <w:r>
        <w:rPr>
          <w:rFonts w:ascii="Times New Roman" w:hAnsi="Times New Roman"/>
          <w:sz w:val="28"/>
        </w:rPr>
        <w:t xml:space="preserve"> Песчанокопского района 26.12.2024 № 219 «Об утверждении бюджета Песчанокопского района на 2025 и плановый период 2026 и 2027 годов»,</w:t>
      </w:r>
    </w:p>
    <w:p w:rsidR="00430BD2" w:rsidRPr="00232AF6" w:rsidRDefault="00232AF6" w:rsidP="00232AF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32AF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232AF6">
        <w:rPr>
          <w:rFonts w:ascii="Times New Roman" w:hAnsi="Times New Roman"/>
          <w:sz w:val="28"/>
          <w:szCs w:val="28"/>
        </w:rPr>
        <w:t>:</w:t>
      </w:r>
    </w:p>
    <w:p w:rsidR="00430BD2" w:rsidRDefault="00232AF6" w:rsidP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отчет о ходе реализации  муниципальной программы  Песчанокопского района «Доступная среда» на 2025 год  согласно  приложению к настоящему постановлению.</w:t>
      </w:r>
    </w:p>
    <w:p w:rsidR="00430BD2" w:rsidRDefault="00232AF6" w:rsidP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430BD2" w:rsidRDefault="00232AF6" w:rsidP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 </w:t>
      </w:r>
    </w:p>
    <w:p w:rsidR="00430BD2" w:rsidRDefault="00232AF6" w:rsidP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его официального опубликования.</w:t>
      </w:r>
    </w:p>
    <w:p w:rsidR="00430BD2" w:rsidRDefault="00232AF6" w:rsidP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района по социальным вопросам  Придворову Н.В.</w:t>
      </w:r>
    </w:p>
    <w:p w:rsidR="00430BD2" w:rsidRDefault="00430BD2" w:rsidP="00232A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0BD2" w:rsidRDefault="00232AF6" w:rsidP="00232AF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 Песчанокопского района                                                                В.В. Лозин</w:t>
      </w:r>
    </w:p>
    <w:p w:rsidR="00430BD2" w:rsidRDefault="00430BD2" w:rsidP="00232AF6">
      <w:pPr>
        <w:spacing w:after="0" w:line="240" w:lineRule="auto"/>
        <w:rPr>
          <w:rFonts w:ascii="Times New Roman" w:hAnsi="Times New Roman"/>
          <w:sz w:val="28"/>
        </w:rPr>
      </w:pPr>
    </w:p>
    <w:p w:rsidR="00232AF6" w:rsidRDefault="00232AF6" w:rsidP="00232AF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</w:t>
      </w:r>
    </w:p>
    <w:p w:rsidR="00430BD2" w:rsidRDefault="00232AF6" w:rsidP="00232AF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УСЗН</w:t>
      </w:r>
    </w:p>
    <w:p w:rsidR="00232AF6" w:rsidRDefault="00232AF6" w:rsidP="00232AF6">
      <w:pPr>
        <w:spacing w:after="0"/>
        <w:ind w:left="5103"/>
        <w:rPr>
          <w:rFonts w:ascii="Times New Roman" w:hAnsi="Times New Roman"/>
          <w:sz w:val="28"/>
        </w:rPr>
      </w:pPr>
    </w:p>
    <w:p w:rsidR="00430BD2" w:rsidRDefault="00232AF6" w:rsidP="00232AF6">
      <w:pPr>
        <w:spacing w:after="0"/>
        <w:ind w:left="5103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430BD2" w:rsidRDefault="00232AF6" w:rsidP="00232AF6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Песчанокопского района</w:t>
      </w:r>
    </w:p>
    <w:p w:rsidR="00430BD2" w:rsidRDefault="00232AF6" w:rsidP="00232AF6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C0D16">
        <w:rPr>
          <w:rFonts w:ascii="Times New Roman" w:hAnsi="Times New Roman"/>
          <w:sz w:val="28"/>
        </w:rPr>
        <w:t>24.03.2026</w:t>
      </w:r>
      <w:r>
        <w:rPr>
          <w:rFonts w:ascii="Times New Roman" w:hAnsi="Times New Roman"/>
          <w:sz w:val="28"/>
        </w:rPr>
        <w:t xml:space="preserve"> № </w:t>
      </w:r>
      <w:r w:rsidR="002C0D16">
        <w:rPr>
          <w:rFonts w:ascii="Times New Roman" w:hAnsi="Times New Roman"/>
          <w:sz w:val="28"/>
        </w:rPr>
        <w:t>66</w:t>
      </w:r>
    </w:p>
    <w:p w:rsidR="00430BD2" w:rsidRDefault="00430BD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232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430BD2" w:rsidRDefault="00232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ходе реализации муниципальной программы </w:t>
      </w:r>
    </w:p>
    <w:p w:rsidR="00430BD2" w:rsidRDefault="00232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430BD2" w:rsidRDefault="00232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«Доступная среда»</w:t>
      </w:r>
    </w:p>
    <w:p w:rsidR="00430BD2" w:rsidRDefault="00232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 год</w:t>
      </w: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430BD2" w:rsidRDefault="00430BD2">
      <w:pPr>
        <w:sectPr w:rsidR="00430BD2" w:rsidSect="00232AF6">
          <w:headerReference w:type="default" r:id="rId9"/>
          <w:footerReference w:type="default" r:id="rId10"/>
          <w:pgSz w:w="11908" w:h="16848"/>
          <w:pgMar w:top="1134" w:right="567" w:bottom="709" w:left="1701" w:header="709" w:footer="0" w:gutter="0"/>
          <w:cols w:space="720"/>
          <w:titlePg/>
          <w:docGrid w:linePitch="299"/>
        </w:sectPr>
      </w:pPr>
    </w:p>
    <w:p w:rsidR="00430BD2" w:rsidRDefault="00232AF6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№1</w:t>
      </w:r>
    </w:p>
    <w:p w:rsidR="00430BD2" w:rsidRDefault="00430BD2">
      <w:pPr>
        <w:spacing w:after="0" w:line="240" w:lineRule="auto"/>
        <w:rPr>
          <w:rFonts w:ascii="Times New Roman" w:hAnsi="Times New Roman"/>
          <w:sz w:val="20"/>
        </w:rPr>
      </w:pPr>
    </w:p>
    <w:p w:rsidR="00430BD2" w:rsidRDefault="00232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1.Сведения о достижении показателей муниципальной программы за 2025 год</w:t>
      </w:r>
    </w:p>
    <w:p w:rsidR="00430BD2" w:rsidRDefault="00430BD2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430BD2" w:rsidRDefault="00430BD2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tbl>
      <w:tblPr>
        <w:tblStyle w:val="4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98"/>
        <w:gridCol w:w="6382"/>
        <w:gridCol w:w="1092"/>
        <w:gridCol w:w="1092"/>
        <w:gridCol w:w="1435"/>
        <w:gridCol w:w="928"/>
        <w:gridCol w:w="956"/>
        <w:gridCol w:w="1559"/>
        <w:gridCol w:w="1391"/>
      </w:tblGrid>
      <w:tr w:rsidR="00430BD2">
        <w:trPr>
          <w:trHeight w:val="1340"/>
        </w:trPr>
        <w:tc>
          <w:tcPr>
            <w:tcW w:w="498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6382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1092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1092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возрастания/ убывания</w:t>
            </w:r>
          </w:p>
        </w:tc>
        <w:tc>
          <w:tcPr>
            <w:tcW w:w="1435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28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956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Фактичес</w:t>
            </w:r>
            <w:proofErr w:type="spellEnd"/>
            <w:r>
              <w:rPr>
                <w:rFonts w:ascii="Times New Roman" w:hAnsi="Times New Roman"/>
                <w:sz w:val="16"/>
              </w:rPr>
              <w:t>-кое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значение на конец текущего года</w:t>
            </w:r>
          </w:p>
        </w:tc>
        <w:tc>
          <w:tcPr>
            <w:tcW w:w="1559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391" w:type="dxa"/>
            <w:vAlign w:val="center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430BD2">
        <w:tc>
          <w:tcPr>
            <w:tcW w:w="49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6382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92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92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35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2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59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391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430BD2">
        <w:tc>
          <w:tcPr>
            <w:tcW w:w="15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Цель муниципальной  программы «Обеспечение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Песчанокопского района»</w:t>
            </w:r>
          </w:p>
        </w:tc>
      </w:tr>
      <w:tr w:rsidR="00430BD2">
        <w:tc>
          <w:tcPr>
            <w:tcW w:w="49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1.1.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092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возрас-тания</w:t>
            </w:r>
            <w:proofErr w:type="spellEnd"/>
            <w:proofErr w:type="gramEnd"/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87,0</w:t>
            </w:r>
          </w:p>
        </w:tc>
        <w:tc>
          <w:tcPr>
            <w:tcW w:w="1559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/>
        </w:tc>
      </w:tr>
      <w:tr w:rsidR="00430BD2">
        <w:tc>
          <w:tcPr>
            <w:tcW w:w="49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1.2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опрошенных инвалидов</w:t>
            </w:r>
          </w:p>
        </w:tc>
        <w:tc>
          <w:tcPr>
            <w:tcW w:w="1092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  <w:p w:rsidR="00430BD2" w:rsidRDefault="00430B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возрас-тания</w:t>
            </w:r>
            <w:proofErr w:type="spellEnd"/>
            <w:proofErr w:type="gramEnd"/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  <w:p w:rsidR="00430BD2" w:rsidRDefault="00430BD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1559" w:type="dxa"/>
          </w:tcPr>
          <w:p w:rsidR="00430BD2" w:rsidRDefault="00232AF6"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0BD2">
        <w:trPr>
          <w:trHeight w:val="759"/>
        </w:trPr>
        <w:tc>
          <w:tcPr>
            <w:tcW w:w="15333" w:type="dxa"/>
            <w:gridSpan w:val="9"/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Цель муниципальной  программы «Создание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среды в приоритетных объектах социальной, транспортной и инженерной инфраструктуры для инвалидов и других маломобильных групп населения»</w:t>
            </w:r>
          </w:p>
        </w:tc>
      </w:tr>
      <w:tr w:rsidR="00430BD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2.1.</w:t>
            </w:r>
          </w:p>
        </w:tc>
        <w:tc>
          <w:tcPr>
            <w:tcW w:w="6382" w:type="dxa"/>
          </w:tcPr>
          <w:p w:rsidR="00430BD2" w:rsidRDefault="00232AF6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Доля объектов социальной инфраструктуры,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возра-стания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2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100,0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100,0</w:t>
            </w:r>
          </w:p>
        </w:tc>
        <w:tc>
          <w:tcPr>
            <w:tcW w:w="1559" w:type="dxa"/>
          </w:tcPr>
          <w:p w:rsidR="00430BD2" w:rsidRDefault="00232AF6"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/>
        </w:tc>
      </w:tr>
      <w:tr w:rsidR="00430BD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2..2.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среда для инклюзивного образования детей-инвалидов, в общем </w:t>
            </w:r>
            <w:r>
              <w:rPr>
                <w:rFonts w:ascii="Times New Roman" w:hAnsi="Times New Roman"/>
                <w:sz w:val="24"/>
              </w:rPr>
              <w:lastRenderedPageBreak/>
              <w:t>количестве общеобразовательных организаций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возра-стания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  <w:p w:rsidR="00430BD2" w:rsidRDefault="00430B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27,0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27,0</w:t>
            </w:r>
          </w:p>
        </w:tc>
        <w:tc>
          <w:tcPr>
            <w:tcW w:w="1559" w:type="dxa"/>
          </w:tcPr>
          <w:p w:rsidR="00430BD2" w:rsidRDefault="00232AF6"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/>
        </w:tc>
      </w:tr>
      <w:tr w:rsidR="00430BD2">
        <w:tc>
          <w:tcPr>
            <w:tcW w:w="15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Цель муниципальной  программы «Реализация мероприятий по предоставлению услуг в сфере реабилитации инвалидов </w:t>
            </w:r>
          </w:p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целью их интеграции в общество»</w:t>
            </w: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  <w:tr w:rsidR="00430BD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2..3.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опрошенных инвалидов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2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84,0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84,0</w:t>
            </w:r>
          </w:p>
        </w:tc>
        <w:tc>
          <w:tcPr>
            <w:tcW w:w="1559" w:type="dxa"/>
          </w:tcPr>
          <w:p w:rsidR="00430BD2" w:rsidRDefault="00232AF6"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</w:p>
        </w:tc>
      </w:tr>
      <w:tr w:rsidR="00430BD2">
        <w:trPr>
          <w:trHeight w:val="230"/>
        </w:trPr>
        <w:tc>
          <w:tcPr>
            <w:tcW w:w="1533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  <w:tr w:rsidR="00430BD2">
        <w:trPr>
          <w:trHeight w:val="509"/>
        </w:trPr>
        <w:tc>
          <w:tcPr>
            <w:tcW w:w="1533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</w:tr>
      <w:tr w:rsidR="00430BD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  <w:tc>
          <w:tcPr>
            <w:tcW w:w="14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комплекса процессных мероприятий «Обеспечение повышения уровня доступности  приоритетных объектов и услуг в приоритетных сферах жизнедеятельности инвалидов и других маломобильных групп населения»</w:t>
            </w: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  <w:tr w:rsidR="00430BD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1.1.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 xml:space="preserve">      </w:t>
            </w:r>
            <w:r>
              <w:rPr>
                <w:rFonts w:ascii="Times New Roman" w:hAnsi="Times New Roman"/>
              </w:rPr>
              <w:t>Отсутствует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       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</w:tr>
      <w:tr w:rsidR="00430BD2">
        <w:trPr>
          <w:trHeight w:val="2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1.2.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инфраструктуры, в общем количестве  приоритетных объектов социальной инфраструктуры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2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87,0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87,0</w:t>
            </w:r>
          </w:p>
        </w:tc>
        <w:tc>
          <w:tcPr>
            <w:tcW w:w="1559" w:type="dxa"/>
          </w:tcPr>
          <w:p w:rsidR="00430BD2" w:rsidRDefault="00232AF6"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highlight w:val="yellow"/>
              </w:rPr>
            </w:pPr>
          </w:p>
        </w:tc>
      </w:tr>
      <w:tr w:rsidR="00430BD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1.3.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2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27,0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27,0</w:t>
            </w:r>
          </w:p>
        </w:tc>
        <w:tc>
          <w:tcPr>
            <w:tcW w:w="1559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  <w:tr w:rsidR="00430BD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1.4.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Доля  детей-инвалидов,  которым созданы условия для получения качественного начального, основного общего и среднего образования, в общей численности детей-инвалидов школьного возраста</w:t>
            </w:r>
            <w:r>
              <w:rPr>
                <w:rFonts w:ascii="Times New Roman" w:hAnsi="Times New Roman"/>
                <w:spacing w:val="-20"/>
                <w:sz w:val="20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28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100,0</w:t>
            </w:r>
          </w:p>
        </w:tc>
        <w:tc>
          <w:tcPr>
            <w:tcW w:w="956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100,0</w:t>
            </w:r>
          </w:p>
        </w:tc>
        <w:tc>
          <w:tcPr>
            <w:tcW w:w="1559" w:type="dxa"/>
          </w:tcPr>
          <w:p w:rsidR="00430BD2" w:rsidRDefault="00232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</w:tcPr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  <w:tr w:rsidR="00430BD2">
        <w:trPr>
          <w:trHeight w:val="770"/>
        </w:trPr>
        <w:tc>
          <w:tcPr>
            <w:tcW w:w="1533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«Социальная интеграция инвалидов и других маломобильных групп  населения в общество»</w:t>
            </w: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  <w:tr w:rsidR="00430BD2">
        <w:trPr>
          <w:trHeight w:val="509"/>
        </w:trPr>
        <w:tc>
          <w:tcPr>
            <w:tcW w:w="1533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/>
        </w:tc>
      </w:tr>
      <w:tr w:rsidR="00430BD2">
        <w:trPr>
          <w:trHeight w:val="7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комплекса процессных мероприятий «Преодоление социальной разобщенности в обществе и формирование позитивного отношения к проблемам инвалидов и проблеме обеспечения доступной среды жизнедеятельности для инвалидов»»</w:t>
            </w:r>
          </w:p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  <w:tr w:rsidR="00430BD2">
        <w:trPr>
          <w:trHeight w:val="7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Доля инвалидов,  положительно оценивающих отношение населения к проблемам инвалидов, в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опрошенных инвалидов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0BD2">
        <w:trPr>
          <w:trHeight w:val="96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технических средств реабилитации инвалидам и другим маломобильным группа населени</w:t>
            </w:r>
            <w:r>
              <w:rPr>
                <w:rFonts w:ascii="Times New Roman" w:hAnsi="Times New Roman"/>
                <w:spacing w:val="-20"/>
                <w:sz w:val="24"/>
              </w:rPr>
              <w:t>я  из пункта проката  МБУ «ЦСО ГПВ и</w:t>
            </w:r>
            <w:proofErr w:type="gramStart"/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pacing w:val="-20"/>
                <w:sz w:val="24"/>
              </w:rPr>
              <w:t>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  <w:p w:rsidR="00430BD2" w:rsidRDefault="00430B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  <w:p w:rsidR="00430BD2" w:rsidRDefault="00430B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0"/>
              </w:rPr>
            </w:pPr>
          </w:p>
        </w:tc>
      </w:tr>
    </w:tbl>
    <w:p w:rsidR="00430BD2" w:rsidRDefault="00430BD2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  <w:highlight w:val="yellow"/>
        </w:rPr>
      </w:pPr>
    </w:p>
    <w:p w:rsidR="00430BD2" w:rsidRDefault="00232AF6">
      <w:pPr>
        <w:spacing w:after="160" w:line="264" w:lineRule="auto"/>
        <w:rPr>
          <w:rFonts w:ascii="Times New Roman" w:hAnsi="Times New Roman"/>
          <w:sz w:val="20"/>
          <w:highlight w:val="yellow"/>
        </w:rPr>
      </w:pPr>
      <w:r>
        <w:rPr>
          <w:rFonts w:ascii="Times New Roman" w:hAnsi="Times New Roman"/>
          <w:sz w:val="20"/>
          <w:highlight w:val="yellow"/>
        </w:rPr>
        <w:br w:type="page"/>
      </w:r>
    </w:p>
    <w:p w:rsidR="00430BD2" w:rsidRDefault="00232AF6">
      <w:pPr>
        <w:widowControl w:val="0"/>
        <w:spacing w:after="0" w:line="240" w:lineRule="auto"/>
        <w:ind w:left="226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№2</w:t>
      </w:r>
    </w:p>
    <w:p w:rsidR="00430BD2" w:rsidRDefault="00430BD2">
      <w:pPr>
        <w:contextualSpacing/>
        <w:jc w:val="center"/>
        <w:rPr>
          <w:rFonts w:ascii="Times New Roman" w:hAnsi="Times New Roman"/>
          <w:b/>
          <w:sz w:val="20"/>
        </w:rPr>
      </w:pPr>
    </w:p>
    <w:p w:rsidR="00430BD2" w:rsidRDefault="00232AF6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ОТЧЕТ </w:t>
      </w:r>
    </w:p>
    <w:p w:rsidR="00430BD2" w:rsidRDefault="00232AF6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 ХОДЕ РЕАЛИЗАЦИИ КОМПЛЕКСНЫХ МЕРОПРИЯТИЙ</w:t>
      </w:r>
    </w:p>
    <w:p w:rsidR="00430BD2" w:rsidRDefault="00232AF6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b/>
          <w:sz w:val="20"/>
        </w:rPr>
        <w:t>ПО СОСТОЯНИЮ НА 01.01.2026 ГОДА</w:t>
      </w:r>
    </w:p>
    <w:p w:rsidR="00430BD2" w:rsidRDefault="00430BD2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506"/>
        <w:gridCol w:w="1080"/>
        <w:gridCol w:w="1100"/>
        <w:gridCol w:w="1217"/>
        <w:gridCol w:w="687"/>
        <w:gridCol w:w="583"/>
        <w:gridCol w:w="610"/>
        <w:gridCol w:w="705"/>
        <w:gridCol w:w="639"/>
        <w:gridCol w:w="566"/>
        <w:gridCol w:w="739"/>
        <w:gridCol w:w="578"/>
        <w:gridCol w:w="608"/>
        <w:gridCol w:w="729"/>
        <w:gridCol w:w="633"/>
        <w:gridCol w:w="590"/>
        <w:gridCol w:w="1252"/>
      </w:tblGrid>
      <w:tr w:rsidR="00430BD2">
        <w:trPr>
          <w:trHeight w:val="360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комплекса процессных мероприятий (результата контрольной точки)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Плановый срок </w:t>
            </w:r>
            <w:proofErr w:type="spellStart"/>
            <w:r>
              <w:rPr>
                <w:rFonts w:ascii="Times New Roman" w:hAnsi="Times New Roman"/>
                <w:sz w:val="18"/>
              </w:rPr>
              <w:t>реалзации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(период)/ (дата)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Фактичес</w:t>
            </w:r>
            <w:proofErr w:type="spellEnd"/>
            <w:r>
              <w:rPr>
                <w:rFonts w:ascii="Times New Roman" w:hAnsi="Times New Roman"/>
                <w:sz w:val="18"/>
              </w:rPr>
              <w:t>-кая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дата окончания </w:t>
            </w:r>
            <w:proofErr w:type="spellStart"/>
            <w:r>
              <w:rPr>
                <w:rFonts w:ascii="Times New Roman" w:hAnsi="Times New Roman"/>
                <w:sz w:val="18"/>
              </w:rPr>
              <w:t>реализа-ции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насту-</w:t>
            </w:r>
            <w:proofErr w:type="spellStart"/>
            <w:r>
              <w:rPr>
                <w:rFonts w:ascii="Times New Roman" w:hAnsi="Times New Roman"/>
                <w:sz w:val="18"/>
              </w:rPr>
              <w:t>пления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контроль-ной точки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Результат </w:t>
            </w:r>
            <w:proofErr w:type="spellStart"/>
            <w:r>
              <w:rPr>
                <w:rFonts w:ascii="Times New Roman" w:hAnsi="Times New Roman"/>
                <w:sz w:val="18"/>
              </w:rPr>
              <w:t>реализции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(краткое описание причины </w:t>
            </w:r>
            <w:proofErr w:type="spellStart"/>
            <w:r>
              <w:rPr>
                <w:rFonts w:ascii="Times New Roman" w:hAnsi="Times New Roman"/>
                <w:sz w:val="18"/>
              </w:rPr>
              <w:t>нереализац-ии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/реализации не в полном объеме</w:t>
            </w:r>
            <w:proofErr w:type="gramEnd"/>
          </w:p>
        </w:tc>
        <w:tc>
          <w:tcPr>
            <w:tcW w:w="3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расходов (</w:t>
            </w:r>
            <w:proofErr w:type="spellStart"/>
            <w:r>
              <w:rPr>
                <w:rFonts w:ascii="Times New Roman" w:hAnsi="Times New Roman"/>
                <w:sz w:val="18"/>
              </w:rPr>
              <w:t>тыс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ублей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3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Кассовое исполнение (</w:t>
            </w:r>
            <w:proofErr w:type="spellStart"/>
            <w:r>
              <w:rPr>
                <w:rFonts w:ascii="Times New Roman" w:hAnsi="Times New Roman"/>
                <w:sz w:val="18"/>
              </w:rPr>
              <w:t>тыс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ублей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Ответствен-</w:t>
            </w:r>
            <w:proofErr w:type="spellStart"/>
            <w:r>
              <w:rPr>
                <w:rFonts w:ascii="Times New Roman" w:hAnsi="Times New Roman"/>
                <w:sz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исполнитель (должность)</w:t>
            </w:r>
          </w:p>
        </w:tc>
      </w:tr>
      <w:tr w:rsidR="00430BD2">
        <w:trPr>
          <w:trHeight w:val="509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spacing w:after="0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бюджет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Областной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бюд-жет</w:t>
            </w:r>
            <w:proofErr w:type="spellEnd"/>
            <w:proofErr w:type="gramEnd"/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Бюд-жет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Песчанокопского района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Бюд-жет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сель-</w:t>
            </w:r>
            <w:proofErr w:type="spellStart"/>
            <w:r>
              <w:rPr>
                <w:rFonts w:ascii="Times New Roman" w:hAnsi="Times New Roman"/>
                <w:sz w:val="18"/>
              </w:rPr>
              <w:t>ских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посе-ле-ний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Вне-бюджет-</w:t>
            </w:r>
            <w:proofErr w:type="spellStart"/>
            <w:r>
              <w:rPr>
                <w:rFonts w:ascii="Times New Roman" w:hAnsi="Times New Roman"/>
                <w:sz w:val="18"/>
              </w:rPr>
              <w:t>ные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источники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бюд-жет</w:t>
            </w:r>
            <w:proofErr w:type="spellEnd"/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Областной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бюд-жет</w:t>
            </w:r>
            <w:proofErr w:type="spellEnd"/>
            <w:proofErr w:type="gramEnd"/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Бюд-жет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Песчанокопского </w:t>
            </w:r>
            <w:proofErr w:type="spellStart"/>
            <w:r>
              <w:rPr>
                <w:rFonts w:ascii="Times New Roman" w:hAnsi="Times New Roman"/>
                <w:sz w:val="18"/>
              </w:rPr>
              <w:t>райо</w:t>
            </w:r>
            <w:proofErr w:type="spellEnd"/>
            <w:r>
              <w:rPr>
                <w:rFonts w:ascii="Times New Roman" w:hAnsi="Times New Roman"/>
                <w:sz w:val="18"/>
              </w:rPr>
              <w:t>-на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Бюд-жет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сель-</w:t>
            </w:r>
            <w:proofErr w:type="spellStart"/>
            <w:r>
              <w:rPr>
                <w:rFonts w:ascii="Times New Roman" w:hAnsi="Times New Roman"/>
                <w:sz w:val="18"/>
              </w:rPr>
              <w:t>ских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посе-ле-ний</w:t>
            </w:r>
            <w:proofErr w:type="spellEnd"/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Вне-бюджет-</w:t>
            </w:r>
            <w:proofErr w:type="spellStart"/>
            <w:r>
              <w:rPr>
                <w:rFonts w:ascii="Times New Roman" w:hAnsi="Times New Roman"/>
                <w:sz w:val="18"/>
              </w:rPr>
              <w:t>ные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источ-ники</w:t>
            </w:r>
            <w:proofErr w:type="spellEnd"/>
            <w:proofErr w:type="gramEnd"/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rPr>
                <w:sz w:val="18"/>
              </w:rPr>
            </w:pPr>
          </w:p>
        </w:tc>
      </w:tr>
      <w:tr w:rsidR="00430BD2">
        <w:trPr>
          <w:trHeight w:val="509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</w:tr>
      <w:tr w:rsidR="00430BD2">
        <w:trPr>
          <w:trHeight w:val="509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</w:tr>
      <w:tr w:rsidR="00430BD2">
        <w:trPr>
          <w:trHeight w:val="27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430BD2" w:rsidRDefault="00430BD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</w:pPr>
          </w:p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</w:pPr>
          </w:p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304,4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304,4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304,4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304,4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Управление социальной защиты населения Администрации Песчанокопского района (</w:t>
            </w:r>
            <w:proofErr w:type="spellStart"/>
            <w:r>
              <w:rPr>
                <w:rFonts w:ascii="Times New Roman" w:hAnsi="Times New Roman"/>
                <w:sz w:val="18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Е.В.)</w:t>
            </w: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t>1.1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1.1.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«Адаптированы приоритетные объекты социальной </w:t>
            </w:r>
            <w:proofErr w:type="spellStart"/>
            <w:r>
              <w:rPr>
                <w:rFonts w:ascii="Times New Roman" w:hAnsi="Times New Roman"/>
                <w:sz w:val="20"/>
              </w:rPr>
              <w:t>инфраст-руктуры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для инвалидов и других маломобильных групп населения путем </w:t>
            </w:r>
            <w:r>
              <w:rPr>
                <w:rFonts w:ascii="Times New Roman" w:hAnsi="Times New Roman"/>
                <w:sz w:val="20"/>
              </w:rPr>
              <w:lastRenderedPageBreak/>
              <w:t>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</w:t>
            </w:r>
            <w:proofErr w:type="gramEnd"/>
          </w:p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форматов, а также технологическое присоединение к электрическим сетям для переключения </w:t>
            </w:r>
          </w:p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резервные источники питания)»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01.01.2025-31.12.2025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01.01.2025-31.12.2025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11.07.2025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Договора заключены, денежные средства освоены полностью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Договор заключен,</w:t>
            </w: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денежные средства освоены полностью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195,5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195,5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195,5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195,5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rPr>
                <w:rFonts w:ascii="Times New Roman" w:hAnsi="Times New Roman"/>
                <w:sz w:val="18"/>
              </w:rPr>
              <w:lastRenderedPageBreak/>
              <w:t>Отдел культуры, спорта и молодежи Администрации Песчанокопс</w:t>
            </w:r>
            <w:r>
              <w:rPr>
                <w:rFonts w:ascii="Times New Roman" w:hAnsi="Times New Roman"/>
                <w:sz w:val="18"/>
              </w:rPr>
              <w:lastRenderedPageBreak/>
              <w:t>кого района (начальник Лунева К.В.)</w:t>
            </w:r>
          </w:p>
          <w:p w:rsidR="00430BD2" w:rsidRDefault="00430BD2"/>
          <w:p w:rsidR="00430BD2" w:rsidRDefault="00430BD2"/>
          <w:p w:rsidR="00430BD2" w:rsidRDefault="00430BD2"/>
          <w:p w:rsidR="00430BD2" w:rsidRDefault="00430BD2"/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МБУ «Центр социального обслуживания граждан пожилого возраста и инвалидов (директор </w:t>
            </w:r>
            <w:proofErr w:type="spellStart"/>
            <w:r>
              <w:rPr>
                <w:rFonts w:ascii="Times New Roman" w:hAnsi="Times New Roman"/>
                <w:sz w:val="18"/>
              </w:rPr>
              <w:t>Бражникова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  <w:proofErr w:type="gramEnd"/>
          </w:p>
        </w:tc>
      </w:tr>
      <w:tr w:rsidR="00430BD2">
        <w:trPr>
          <w:trHeight w:val="97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lastRenderedPageBreak/>
              <w:t>1.1.1.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1.1.1. Закупка включена в график закупок</w:t>
            </w:r>
          </w:p>
          <w:p w:rsidR="00430BD2" w:rsidRDefault="00430BD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 xml:space="preserve"> 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04.03.2025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культуры, спорта и молодежи Администрации района</w:t>
            </w: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t>1.1.2.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1.1.2. Заключен договор на закупку товаров, работ,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25.04.202527.06.2025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Контракты заключены.</w:t>
            </w:r>
          </w:p>
          <w:p w:rsidR="00430BD2" w:rsidRDefault="00430BD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культуры, спорта и молодежи   Администрации района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lastRenderedPageBreak/>
              <w:t>1.1.3.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1.1.3. Произведена приемка поставленных товаров, проведенных работ, </w:t>
            </w:r>
            <w:proofErr w:type="gramStart"/>
            <w:r>
              <w:rPr>
                <w:rFonts w:ascii="Times New Roman" w:hAnsi="Times New Roman"/>
                <w:sz w:val="20"/>
              </w:rPr>
              <w:t>оказанный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21.05.2025</w:t>
            </w: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30.05.2025</w:t>
            </w: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24.06.2025</w:t>
            </w: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11.07.2025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rPr>
                <w:rFonts w:ascii="Times New Roman" w:hAnsi="Times New Roman"/>
                <w:sz w:val="18"/>
              </w:rPr>
              <w:t>Произведена  оплата согласно заключенным контрактам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культуры, спорта и молодежи  Администрации района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/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t>1.1.4.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1.1.4.</w:t>
            </w:r>
          </w:p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Произведена оплата товаров, выполненных работ, оказанных услуг в соответствии с заключенными договорами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квартал 2025 года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Денежные средства освоены полностью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культуры, спорта и молодежи Администрации района</w:t>
            </w: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t>1.1.1.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1.1.1. Закупка включена в план закупок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 xml:space="preserve"> 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МБУ «ЦСО ГПИ и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t>1.1.2.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1.1.2. Заключен договор на закупку товаров, работ,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Договор заключен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МБУ «ЦСО ГПИ и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t>1.1.3.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1.1.3. Произведена приемка поставленных товаров, проведенных работ, </w:t>
            </w:r>
            <w:proofErr w:type="gramStart"/>
            <w:r>
              <w:rPr>
                <w:rFonts w:ascii="Times New Roman" w:hAnsi="Times New Roman"/>
                <w:sz w:val="20"/>
              </w:rPr>
              <w:t>оказанный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Произведена оплата в полном объеме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МБУ «ЦСО ГПИ и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  <w:p w:rsidR="00430BD2" w:rsidRDefault="00430BD2"/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t>1.1.4.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1.1.4.</w:t>
            </w:r>
          </w:p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Произведена оплата товаров, выполненных работ, оказанных услуг в соответствии с заключенными договорами</w:t>
            </w:r>
          </w:p>
          <w:p w:rsidR="00430BD2" w:rsidRDefault="00430BD2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lastRenderedPageBreak/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квартал 2025 года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Денежные средства освоены полностью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МБУ «ЦСО ГПИ и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lastRenderedPageBreak/>
              <w:t>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«Социальная интеграция инвалидов и других маломобильных групп населения в общество»</w:t>
            </w:r>
          </w:p>
          <w:p w:rsidR="00430BD2" w:rsidRDefault="00430BD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430BD2" w:rsidRDefault="00430BD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МБУ «ЦСО ГПИ и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</w:tr>
      <w:tr w:rsidR="00430BD2">
        <w:trPr>
          <w:trHeight w:val="36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r>
              <w:t>2.1.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2.1. «Предоставление инвалидам (во временное пользование) технические средства реабилитации из пункта проката Муниципального бюджетного учреждения «Центр социального обслуживания граждан пожилого возраста и инвалидов»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01.01.2025-31.12.2025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МБУ «ЦСО ГПИ и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430BD2" w:rsidRDefault="00430BD2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  <w:highlight w:val="yellow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232AF6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 3</w:t>
      </w: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232AF6">
      <w:pPr>
        <w:spacing w:after="0" w:line="264" w:lineRule="auto"/>
        <w:ind w:left="-352" w:right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430BD2" w:rsidRDefault="00232AF6">
      <w:pPr>
        <w:spacing w:after="0" w:line="264" w:lineRule="auto"/>
        <w:ind w:left="-352" w:right="539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выполнении</w:t>
      </w:r>
      <w:proofErr w:type="gramEnd"/>
      <w:r>
        <w:rPr>
          <w:rFonts w:ascii="Times New Roman" w:hAnsi="Times New Roman"/>
          <w:sz w:val="28"/>
        </w:rPr>
        <w:t xml:space="preserve"> (достижении) мероприятий (результатов) комплекса процессных мероприятий</w:t>
      </w:r>
    </w:p>
    <w:p w:rsidR="00430BD2" w:rsidRDefault="00430BD2">
      <w:pPr>
        <w:spacing w:after="0" w:line="264" w:lineRule="auto"/>
        <w:ind w:left="-352" w:right="539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763"/>
        <w:gridCol w:w="2113"/>
        <w:gridCol w:w="1773"/>
        <w:gridCol w:w="1988"/>
        <w:gridCol w:w="1964"/>
        <w:gridCol w:w="1723"/>
        <w:gridCol w:w="2038"/>
      </w:tblGrid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Характеристика (качественная), количественная)</w:t>
            </w:r>
            <w:proofErr w:type="gram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на конец текущего года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(должность)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Комментарий</w:t>
            </w:r>
          </w:p>
        </w:tc>
      </w:tr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4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t>1.1.</w:t>
            </w:r>
          </w:p>
        </w:tc>
        <w:tc>
          <w:tcPr>
            <w:tcW w:w="14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«Обеспечение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t>1.1.1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</w:p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1.1. </w:t>
            </w:r>
            <w:proofErr w:type="gramStart"/>
            <w:r>
              <w:rPr>
                <w:rFonts w:ascii="Times New Roman" w:hAnsi="Times New Roman"/>
                <w:sz w:val="20"/>
              </w:rPr>
              <w:t>«Адаптированы приоритетные объекты социальной инфраструктуры 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</w:t>
            </w:r>
            <w:proofErr w:type="gramEnd"/>
          </w:p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 тактильными средствами, установка подъемников, поручней, ограждений,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пандусов, приобретение спортивного оборудования, инвентаря и экипировки, компьютерной техники и оргтехники, изданий специализированных форматов, а также технологическое присоединение к электрическим сетям для переключения </w:t>
            </w:r>
          </w:p>
          <w:p w:rsidR="00430BD2" w:rsidRDefault="00232A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резервные источники питания)»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rPr>
                <w:rFonts w:ascii="Times New Roman" w:hAnsi="Times New Roman"/>
                <w:sz w:val="20"/>
              </w:rPr>
              <w:lastRenderedPageBreak/>
              <w:t>Оснащение приоритетных объектов социальной инфраструктуры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Отдел культуры, спорта и молодежи Администрации района  </w:t>
            </w:r>
            <w:proofErr w:type="spellStart"/>
            <w:r>
              <w:rPr>
                <w:rFonts w:ascii="Times New Roman" w:hAnsi="Times New Roman"/>
                <w:sz w:val="18"/>
              </w:rPr>
              <w:t>К.В.Лунева</w:t>
            </w:r>
            <w:proofErr w:type="spellEnd"/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МБУ «Центр социального обслуживания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18"/>
              </w:rPr>
              <w:t>Бражникова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  <w:p w:rsidR="00430BD2" w:rsidRDefault="00430BD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</w:tr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  <w:tc>
          <w:tcPr>
            <w:tcW w:w="14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 «Социальная интеграция инвалидов и других маломобильных групп населения в общество»</w:t>
            </w:r>
          </w:p>
        </w:tc>
      </w:tr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t>2.1</w:t>
            </w:r>
          </w:p>
        </w:tc>
        <w:tc>
          <w:tcPr>
            <w:tcW w:w="14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«Преодоление социальной разобщенности в обществе и формирование позитивного отношения к  проблемам инвалидов и проблеме обеспечения доступной среды жизнедеятельности для инвалидов»</w:t>
            </w:r>
          </w:p>
        </w:tc>
      </w:tr>
      <w:tr w:rsidR="00430BD2">
        <w:trPr>
          <w:trHeight w:val="36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t>2.1.1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rPr>
                <w:rFonts w:ascii="Times New Roman" w:hAnsi="Times New Roman"/>
                <w:sz w:val="20"/>
              </w:rPr>
              <w:t>Предоставлены технические средства реабилитации инвалидам и другим маломобильным группам населения из пункта проката МБУ «ЦСО ГПВ и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rPr>
                <w:rFonts w:ascii="Times New Roman" w:hAnsi="Times New Roman"/>
                <w:sz w:val="20"/>
              </w:rPr>
              <w:t>Повышение информационной доступности для инвалидов, обеспечение средствами реабилитации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45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jc w:val="center"/>
            </w:pPr>
            <w:r>
              <w:t>45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232AF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МБУ «Центр социального обслуживания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18"/>
              </w:rPr>
              <w:t>Бражникова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BD2" w:rsidRDefault="00430BD2"/>
        </w:tc>
      </w:tr>
    </w:tbl>
    <w:p w:rsidR="00430BD2" w:rsidRDefault="00430BD2">
      <w:pPr>
        <w:spacing w:after="0" w:line="264" w:lineRule="auto"/>
        <w:ind w:left="-352" w:right="539"/>
        <w:jc w:val="center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both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430BD2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</w:p>
    <w:p w:rsidR="00430BD2" w:rsidRDefault="00232AF6">
      <w:pPr>
        <w:spacing w:after="0" w:line="264" w:lineRule="auto"/>
        <w:ind w:left="-352" w:right="53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 4</w:t>
      </w:r>
    </w:p>
    <w:p w:rsidR="00430BD2" w:rsidRDefault="00430BD2">
      <w:pPr>
        <w:spacing w:after="0" w:line="264" w:lineRule="auto"/>
        <w:ind w:left="357" w:right="539"/>
        <w:jc w:val="right"/>
        <w:rPr>
          <w:rFonts w:ascii="Times New Roman" w:hAnsi="Times New Roman"/>
          <w:sz w:val="24"/>
        </w:rPr>
      </w:pPr>
    </w:p>
    <w:p w:rsidR="00430BD2" w:rsidRDefault="00232AF6">
      <w:pPr>
        <w:spacing w:after="0" w:line="264" w:lineRule="auto"/>
        <w:ind w:left="-352" w:right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430BD2" w:rsidRDefault="00232AF6">
      <w:pPr>
        <w:spacing w:after="0" w:line="264" w:lineRule="auto"/>
        <w:ind w:left="357" w:right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бюджетных ассигнований, предусмотренных на финансовое обеспечение реализации программы</w:t>
      </w:r>
    </w:p>
    <w:p w:rsidR="00430BD2" w:rsidRDefault="00430BD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5"/>
        <w:gridCol w:w="1246"/>
        <w:gridCol w:w="953"/>
        <w:gridCol w:w="1064"/>
        <w:gridCol w:w="1119"/>
        <w:gridCol w:w="1057"/>
        <w:gridCol w:w="1662"/>
        <w:gridCol w:w="1710"/>
      </w:tblGrid>
      <w:tr w:rsidR="00430BD2" w:rsidTr="00232AF6">
        <w:trPr>
          <w:trHeight w:val="411"/>
        </w:trPr>
        <w:tc>
          <w:tcPr>
            <w:tcW w:w="6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20"/>
              </w:rPr>
              <w:br/>
              <w:t>тыс. рублей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Исполнение, </w:t>
            </w:r>
            <w:r>
              <w:rPr>
                <w:rFonts w:ascii="Times New Roman" w:hAnsi="Times New Roman"/>
                <w:sz w:val="20"/>
              </w:rPr>
              <w:br/>
              <w:t>тыс. рублей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исполнения, (6)/(3)*100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430BD2" w:rsidTr="00232AF6">
        <w:trPr>
          <w:trHeight w:val="1078"/>
        </w:trPr>
        <w:tc>
          <w:tcPr>
            <w:tcW w:w="6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Предус-мотрено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паспортом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Сводная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бюд-жетная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роспись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Лимиты </w:t>
            </w:r>
            <w:proofErr w:type="gramStart"/>
            <w:r>
              <w:rPr>
                <w:rFonts w:ascii="Times New Roman" w:hAnsi="Times New Roman"/>
                <w:sz w:val="20"/>
              </w:rPr>
              <w:t>бюджет-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обяза-тельств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Принятые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бюджет-</w:t>
            </w:r>
            <w:proofErr w:type="spellStart"/>
            <w:r>
              <w:rPr>
                <w:rFonts w:ascii="Times New Roman" w:hAnsi="Times New Roman"/>
                <w:sz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обяза-тельства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Кас-совое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исполне-ние</w:t>
            </w:r>
            <w:proofErr w:type="spellEnd"/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/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/>
        </w:tc>
      </w:tr>
      <w:tr w:rsidR="00430BD2" w:rsidTr="00232AF6">
        <w:trPr>
          <w:trHeight w:val="218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430BD2" w:rsidTr="00232AF6">
        <w:trPr>
          <w:trHeight w:val="262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(всего), в том числе: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304,4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r>
              <w:rPr>
                <w:rFonts w:ascii="Times New Roman" w:hAnsi="Times New Roman"/>
                <w:sz w:val="20"/>
              </w:rPr>
              <w:t>Денежные средства освоены полностью</w:t>
            </w:r>
          </w:p>
        </w:tc>
      </w:tr>
      <w:tr w:rsidR="00430BD2" w:rsidTr="00232AF6">
        <w:trPr>
          <w:trHeight w:val="262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262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262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262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4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Бюджеты сельских поселений Песчанокопского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3010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Мероприятие (результат) </w:t>
            </w:r>
          </w:p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форматов, а также технологическое присоединение к электрическим сетям для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переключения на резервные источники питания)» (всего), в том числе: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Денежные средства освоены полностью</w:t>
            </w:r>
          </w:p>
        </w:tc>
      </w:tr>
      <w:tr w:rsidR="00430BD2" w:rsidTr="00232AF6">
        <w:trPr>
          <w:trHeight w:val="537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430BD2" w:rsidRDefault="00430B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Бюджеты сельских поселений Песчанокопского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</w:p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«Инвалидам предоставлены (во временное пользование) технические средства реабилитации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528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232A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483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BD2" w:rsidTr="00232AF6">
        <w:trPr>
          <w:trHeight w:val="511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Бюджеты сельских поселений Песчанокопского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D2" w:rsidRDefault="00232AF6">
            <w:pPr>
              <w:jc w:val="center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BD2" w:rsidRDefault="00430BD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30BD2" w:rsidRPr="00232AF6" w:rsidRDefault="00430BD2">
      <w:pPr>
        <w:spacing w:after="0" w:line="264" w:lineRule="auto"/>
        <w:ind w:left="357" w:right="539"/>
        <w:jc w:val="center"/>
        <w:rPr>
          <w:rFonts w:ascii="Times New Roman" w:hAnsi="Times New Roman"/>
          <w:sz w:val="16"/>
        </w:rPr>
      </w:pPr>
    </w:p>
    <w:p w:rsidR="00232AF6" w:rsidRPr="00E35510" w:rsidRDefault="00232AF6" w:rsidP="00232AF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232AF6" w:rsidRDefault="00232AF6" w:rsidP="00232AF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  <w:sectPr w:rsidR="00232AF6" w:rsidSect="00232AF6">
          <w:headerReference w:type="default" r:id="rId11"/>
          <w:pgSz w:w="16848" w:h="11908" w:orient="landscape"/>
          <w:pgMar w:top="0" w:right="567" w:bottom="567" w:left="567" w:header="709" w:footer="313" w:gutter="0"/>
          <w:cols w:space="720"/>
        </w:sect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32AF6" w:rsidRDefault="00232AF6" w:rsidP="00232AF6">
      <w:pPr>
        <w:spacing w:after="0"/>
        <w:ind w:left="5103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232AF6" w:rsidRDefault="00232AF6" w:rsidP="00232AF6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Песчанокопского района</w:t>
      </w:r>
    </w:p>
    <w:p w:rsidR="00232AF6" w:rsidRDefault="00232AF6" w:rsidP="00232AF6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C0D16">
        <w:rPr>
          <w:rFonts w:ascii="Times New Roman" w:hAnsi="Times New Roman"/>
          <w:sz w:val="28"/>
        </w:rPr>
        <w:t>24.03.2026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2C0D16">
        <w:rPr>
          <w:rFonts w:ascii="Times New Roman" w:hAnsi="Times New Roman"/>
          <w:sz w:val="28"/>
        </w:rPr>
        <w:t>66</w:t>
      </w:r>
    </w:p>
    <w:p w:rsidR="00232AF6" w:rsidRDefault="00232AF6" w:rsidP="00232AF6">
      <w:pPr>
        <w:tabs>
          <w:tab w:val="center" w:pos="5384"/>
          <w:tab w:val="left" w:pos="9504"/>
        </w:tabs>
        <w:spacing w:after="160" w:line="240" w:lineRule="auto"/>
        <w:ind w:left="-284"/>
        <w:rPr>
          <w:rFonts w:ascii="Times New Roman" w:hAnsi="Times New Roman"/>
          <w:sz w:val="28"/>
        </w:rPr>
      </w:pPr>
    </w:p>
    <w:p w:rsidR="00232AF6" w:rsidRDefault="00232AF6" w:rsidP="00232AF6">
      <w:pPr>
        <w:tabs>
          <w:tab w:val="center" w:pos="5384"/>
          <w:tab w:val="left" w:pos="9504"/>
        </w:tabs>
        <w:spacing w:after="160" w:line="240" w:lineRule="auto"/>
        <w:ind w:left="-284"/>
        <w:rPr>
          <w:rFonts w:ascii="Times New Roman" w:hAnsi="Times New Roman"/>
          <w:sz w:val="28"/>
        </w:rPr>
      </w:pPr>
    </w:p>
    <w:p w:rsidR="00430BD2" w:rsidRDefault="00232AF6" w:rsidP="00232AF6">
      <w:pPr>
        <w:tabs>
          <w:tab w:val="center" w:pos="5384"/>
          <w:tab w:val="left" w:pos="9504"/>
        </w:tabs>
        <w:spacing w:after="0" w:line="240" w:lineRule="auto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Пояснительная информация</w:t>
      </w:r>
    </w:p>
    <w:p w:rsidR="00430BD2" w:rsidRDefault="00232AF6" w:rsidP="00232AF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к отчету о ходе реализации муниципальной программы </w:t>
      </w:r>
    </w:p>
    <w:p w:rsidR="00430BD2" w:rsidRDefault="00232AF6" w:rsidP="00232A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Песчанокопского района «Доступная среда за  2025 год</w:t>
      </w:r>
    </w:p>
    <w:p w:rsidR="00430BD2" w:rsidRDefault="00430BD2" w:rsidP="00232A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Песчанокопского района «Доступная среда» (далее – программа) утверждена постановлением Администрации Песчанокопского района Ростовской области от  07.12.2018 №817. На реализацию программы в 2025 году предусмотрено 304,4 тыс. рублей, сводной бюджетной росписью – 304,4 тыс. рублей. Фактическое освоение средств по итогам  2025 года составило 304,4 тыс. рублей, или 100,0 процентов от предусмотренного сводной бюджетной росписью объема.</w:t>
      </w: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Песчанокопского района «Доступная среда» включает в себя следующие структурные элементы:</w:t>
      </w: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Комплекс процессных мероприятий –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населения»;</w:t>
      </w:r>
    </w:p>
    <w:p w:rsidR="00430BD2" w:rsidRDefault="00232AF6">
      <w:pPr>
        <w:spacing w:after="0" w:line="240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 Комплекс процессных мероприятий – «Социальная интеграция инвалидов и других маломобильных групп населения в общество».</w:t>
      </w: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20B22"/>
          <w:sz w:val="28"/>
        </w:rPr>
        <w:t xml:space="preserve">Муниципальной программой и структурными элементами  программы предусмотрено 7 показателей, по 7 из которых фактические значения </w:t>
      </w:r>
      <w:proofErr w:type="gramStart"/>
      <w:r>
        <w:rPr>
          <w:rFonts w:ascii="Times New Roman" w:hAnsi="Times New Roman"/>
          <w:color w:val="020B22"/>
          <w:sz w:val="28"/>
        </w:rPr>
        <w:t>на конец</w:t>
      </w:r>
      <w:proofErr w:type="gramEnd"/>
      <w:r>
        <w:rPr>
          <w:rFonts w:ascii="Times New Roman" w:hAnsi="Times New Roman"/>
          <w:color w:val="020B22"/>
          <w:sz w:val="28"/>
        </w:rPr>
        <w:t xml:space="preserve"> 2025 года соответствуют плановым значениям</w:t>
      </w:r>
      <w:r>
        <w:rPr>
          <w:rFonts w:ascii="Times New Roman" w:hAnsi="Times New Roman"/>
          <w:sz w:val="28"/>
        </w:rPr>
        <w:t>.</w:t>
      </w:r>
    </w:p>
    <w:p w:rsidR="00430BD2" w:rsidRDefault="00232AF6">
      <w:pPr>
        <w:spacing w:before="134" w:after="134" w:line="240" w:lineRule="auto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 xml:space="preserve">     Показатель 1.1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инфраструктуры»: плановое значение – 87,0 процентов, фактическое значение 87,0 процентов.</w:t>
      </w:r>
    </w:p>
    <w:p w:rsidR="00430BD2" w:rsidRDefault="00232AF6">
      <w:pPr>
        <w:spacing w:before="134" w:after="134" w:line="240" w:lineRule="auto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 xml:space="preserve">      Показатель 1.2 «Доля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>
        <w:rPr>
          <w:rFonts w:ascii="Times New Roman" w:hAnsi="Times New Roman"/>
          <w:color w:val="020B22"/>
          <w:sz w:val="28"/>
          <w:highlight w:val="white"/>
        </w:rPr>
        <w:t>численности</w:t>
      </w:r>
      <w:proofErr w:type="gramEnd"/>
      <w:r>
        <w:rPr>
          <w:rFonts w:ascii="Times New Roman" w:hAnsi="Times New Roman"/>
          <w:color w:val="020B22"/>
          <w:sz w:val="28"/>
          <w:highlight w:val="white"/>
        </w:rPr>
        <w:t xml:space="preserve"> опрошенных инвалидов» плановое значение – 85,0 процентов, фактическое значение 85,0 процентов.</w:t>
      </w:r>
    </w:p>
    <w:p w:rsidR="00430BD2" w:rsidRDefault="00232AF6">
      <w:pPr>
        <w:spacing w:before="134" w:after="134" w:line="240" w:lineRule="auto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 xml:space="preserve">     Показатель 2.1 «Доля объектов социальной инфраструктуры, на которые сформированы паспорта доступности в общем количестве объектов социальной инфраструктуры в приоритетных сферах жизнедеятельности и инвалидов и других маломобильных групп населения» – 100,0 процента, фактическое значение 100,0 процента.</w:t>
      </w:r>
    </w:p>
    <w:p w:rsidR="00430BD2" w:rsidRDefault="00232AF6">
      <w:pPr>
        <w:spacing w:before="134" w:after="134" w:line="240" w:lineRule="auto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lastRenderedPageBreak/>
        <w:t xml:space="preserve">         Показатель 2.2 «Доля общеобразовательных организаций, в которых создана универсальная </w:t>
      </w:r>
      <w:proofErr w:type="spellStart"/>
      <w:r>
        <w:rPr>
          <w:rFonts w:ascii="Times New Roman" w:hAnsi="Times New Roman"/>
          <w:color w:val="020B22"/>
          <w:sz w:val="28"/>
          <w:highlight w:val="white"/>
        </w:rPr>
        <w:t>безбарьерная</w:t>
      </w:r>
      <w:proofErr w:type="spellEnd"/>
      <w:r>
        <w:rPr>
          <w:rFonts w:ascii="Times New Roman" w:hAnsi="Times New Roman"/>
          <w:color w:val="020B22"/>
          <w:sz w:val="28"/>
          <w:highlight w:val="white"/>
        </w:rPr>
        <w:t xml:space="preserve"> среда для инклюзивного образования детей-инвалидов, в общем количестве общеобразовательных организаций» – 27,0 процента, фактическое значение – 27,0 процента.</w:t>
      </w: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20B22"/>
          <w:sz w:val="28"/>
          <w:highlight w:val="white"/>
        </w:rPr>
        <w:t xml:space="preserve">Показатель 2.3 «Доля инвалидов, положительно оценивающих отношение населения к проблемам инвалидов, в общей </w:t>
      </w:r>
      <w:proofErr w:type="gramStart"/>
      <w:r>
        <w:rPr>
          <w:rFonts w:ascii="Times New Roman" w:hAnsi="Times New Roman"/>
          <w:color w:val="020B22"/>
          <w:sz w:val="28"/>
          <w:highlight w:val="white"/>
        </w:rPr>
        <w:t>численности</w:t>
      </w:r>
      <w:proofErr w:type="gramEnd"/>
      <w:r>
        <w:rPr>
          <w:rFonts w:ascii="Times New Roman" w:hAnsi="Times New Roman"/>
          <w:color w:val="020B22"/>
          <w:sz w:val="28"/>
          <w:highlight w:val="white"/>
        </w:rPr>
        <w:t xml:space="preserve"> опрошенных инвалидов» – 84,0 процента, фактическое значение – 84,0 процента.</w:t>
      </w: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A69B"/>
        </w:rPr>
      </w:pPr>
      <w:r>
        <w:rPr>
          <w:rFonts w:ascii="Times New Roman" w:hAnsi="Times New Roman"/>
          <w:color w:val="020B22"/>
          <w:sz w:val="28"/>
          <w:highlight w:val="white"/>
        </w:rPr>
        <w:t>Показатель 1.4 «Доля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возраста» – 100,0 процента, фактическое значение – 100,0 процента.</w:t>
      </w: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A69B"/>
        </w:rPr>
      </w:pPr>
      <w:r>
        <w:rPr>
          <w:rFonts w:ascii="Times New Roman" w:hAnsi="Times New Roman"/>
          <w:color w:val="020B22"/>
          <w:sz w:val="28"/>
          <w:highlight w:val="white"/>
        </w:rPr>
        <w:t>Показатель 1.1 «Предоставить технические средства реабилитации инвалидам и другим маломобильным группам населения из пункта проката МБУ «ЦСО ГПВ и</w:t>
      </w:r>
      <w:proofErr w:type="gramStart"/>
      <w:r>
        <w:rPr>
          <w:rFonts w:ascii="Times New Roman" w:hAnsi="Times New Roman"/>
          <w:color w:val="020B22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20B22"/>
          <w:sz w:val="28"/>
          <w:highlight w:val="white"/>
        </w:rPr>
        <w:t>И</w:t>
      </w:r>
      <w:proofErr w:type="spellEnd"/>
      <w:proofErr w:type="gramEnd"/>
      <w:r>
        <w:rPr>
          <w:rFonts w:ascii="Times New Roman" w:hAnsi="Times New Roman"/>
          <w:color w:val="020B22"/>
          <w:sz w:val="28"/>
          <w:highlight w:val="white"/>
        </w:rPr>
        <w:t>»» – 100,0 процента, фактическое значение – 100,0 процента.</w:t>
      </w:r>
    </w:p>
    <w:p w:rsidR="00430BD2" w:rsidRDefault="00232A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A69B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в 2025 году муниципальной программой предусмотрено 304,4 тыс. рублей, в том числе из средств:</w:t>
      </w:r>
    </w:p>
    <w:p w:rsidR="00430BD2" w:rsidRDefault="00232AF6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федерального бюджета – 0;</w:t>
      </w:r>
    </w:p>
    <w:p w:rsidR="00430BD2" w:rsidRDefault="00232AF6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областного бюджета – 0;</w:t>
      </w:r>
    </w:p>
    <w:p w:rsidR="00430BD2" w:rsidRDefault="00232AF6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Песчанокопского района – 304,4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</w:t>
      </w:r>
      <w:proofErr w:type="spellEnd"/>
      <w:r>
        <w:rPr>
          <w:rFonts w:ascii="Times New Roman" w:hAnsi="Times New Roman"/>
          <w:sz w:val="28"/>
        </w:rPr>
        <w:t>.;</w:t>
      </w:r>
    </w:p>
    <w:p w:rsidR="00430BD2" w:rsidRDefault="00232AF6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внебюджетные источники – 0.</w:t>
      </w:r>
    </w:p>
    <w:p w:rsidR="00430BD2" w:rsidRDefault="00232A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рамках проекта предусмотрено выполнение двух мероприятий (результатов). По итогам 2025 года все мероприятия выполнены в срок.</w:t>
      </w:r>
    </w:p>
    <w:p w:rsidR="00430BD2" w:rsidRDefault="00232A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выполнения мероприятий (результатов) проекта предусмотрено наступление 8 контрольных точек, из них:</w:t>
      </w:r>
    </w:p>
    <w:p w:rsidR="00430BD2" w:rsidRDefault="00232AF6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запланированного срока – 4;</w:t>
      </w:r>
    </w:p>
    <w:p w:rsidR="00430BD2" w:rsidRDefault="00232AF6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установленный срок – 4;</w:t>
      </w:r>
    </w:p>
    <w:p w:rsidR="00430BD2" w:rsidRDefault="00232AF6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нарушением установленного срока - 0.</w:t>
      </w:r>
    </w:p>
    <w:p w:rsidR="00430BD2" w:rsidRDefault="00232A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color w:val="020B22"/>
          <w:sz w:val="28"/>
          <w:highlight w:val="white"/>
        </w:rPr>
        <w:t>В рамках комплекса процессных мероприятий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населения», предусмотрена реализация одного мероприятия (результаты) и 8 контрольных точек.</w:t>
      </w:r>
    </w:p>
    <w:p w:rsidR="00430BD2" w:rsidRDefault="00232AF6">
      <w:pPr>
        <w:spacing w:before="134" w:after="134" w:line="240" w:lineRule="auto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 xml:space="preserve">  </w:t>
      </w:r>
      <w:proofErr w:type="gramStart"/>
      <w:r>
        <w:rPr>
          <w:rFonts w:ascii="Times New Roman" w:hAnsi="Times New Roman"/>
          <w:color w:val="020B22"/>
          <w:sz w:val="28"/>
          <w:highlight w:val="white"/>
        </w:rPr>
        <w:t>Мероприятие (результат) 1.1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форматов, а также технологическое присоединение к</w:t>
      </w:r>
      <w:proofErr w:type="gramEnd"/>
      <w:r>
        <w:rPr>
          <w:rFonts w:ascii="Times New Roman" w:hAnsi="Times New Roman"/>
          <w:color w:val="020B22"/>
          <w:sz w:val="28"/>
          <w:highlight w:val="white"/>
        </w:rPr>
        <w:t xml:space="preserve"> электрическим сетям для переключения на резервные источники питания)» выполнено.</w:t>
      </w:r>
    </w:p>
    <w:p w:rsidR="00430BD2" w:rsidRDefault="00232AF6">
      <w:pPr>
        <w:spacing w:before="134" w:after="134" w:line="240" w:lineRule="auto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lastRenderedPageBreak/>
        <w:t xml:space="preserve"> </w:t>
      </w:r>
      <w:proofErr w:type="gramStart"/>
      <w:r>
        <w:rPr>
          <w:rFonts w:ascii="Times New Roman" w:hAnsi="Times New Roman"/>
          <w:sz w:val="28"/>
        </w:rPr>
        <w:t>Муниципальным бюджетным  учреждением Песчанокопского района «</w:t>
      </w:r>
      <w:proofErr w:type="spellStart"/>
      <w:r>
        <w:rPr>
          <w:rFonts w:ascii="Times New Roman" w:hAnsi="Times New Roman"/>
          <w:sz w:val="28"/>
        </w:rPr>
        <w:t>Межпоселенческая</w:t>
      </w:r>
      <w:proofErr w:type="spellEnd"/>
      <w:r>
        <w:rPr>
          <w:rFonts w:ascii="Times New Roman" w:hAnsi="Times New Roman"/>
          <w:sz w:val="28"/>
        </w:rPr>
        <w:t xml:space="preserve"> центральная библиотека» (Отдел культуры, спорта и туризма Администрации района) закупка включена в план-</w:t>
      </w:r>
      <w:proofErr w:type="spellStart"/>
      <w:r>
        <w:rPr>
          <w:rFonts w:ascii="Times New Roman" w:hAnsi="Times New Roman"/>
          <w:sz w:val="28"/>
        </w:rPr>
        <w:t>графинк</w:t>
      </w:r>
      <w:proofErr w:type="spellEnd"/>
      <w:r>
        <w:rPr>
          <w:rFonts w:ascii="Times New Roman" w:hAnsi="Times New Roman"/>
          <w:sz w:val="28"/>
        </w:rPr>
        <w:t xml:space="preserve"> закупок на 2025 год (Контрольная точка 1.1.1); заключены  четыре контракта  на закупку товаров, работ, услуг: (контракт № 20 от 25.04.2025г., контракт № 21 от 25.04.2025 г., контракт № 22 от 25.04.2025 г., контракт № 38 от 27.06.2025 г. – Контрольная точка 1.1.2.);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произведена приемка поставленных товаров, проведенных работ и оказанных услуг - клавиатура, адаптированная для слабовидящих и людей с ДЦП с большими кнопками и пластиковой насадкой – 2 шт.; табличка тактильная, комплексная с азбукой Брайля – 22 шт.; пиктограмма тактильная «Направление движения» – 13 шт.; пиктограмма тактильная «Вход в помещение» – 6 шт.; лента противоскользящая для контрастной маркировки и безопасного движения по лестнице – 54 метра;</w:t>
      </w:r>
      <w:proofErr w:type="gramEnd"/>
      <w:r>
        <w:rPr>
          <w:rFonts w:ascii="Times New Roman" w:hAnsi="Times New Roman"/>
          <w:sz w:val="28"/>
        </w:rPr>
        <w:t xml:space="preserve"> тактильные наклейки на поручни – 20 шт.; круг для контрастной маркировки дверных проемов – 1шт.; беспроводная система вызова помощи – 6 шт. (Контрольная точка 1.1.3.);  полностью произведена оплата поставленных товаров, работ,  оказанных услуг (Контрольная точка 1.1.4.) - .  на общую сумму 195,5 тыс. рублей.       </w:t>
      </w:r>
    </w:p>
    <w:p w:rsidR="00430BD2" w:rsidRDefault="00232A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 МБУ «ЦСО ГПВ и</w:t>
      </w:r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</w:t>
      </w:r>
      <w:proofErr w:type="spellEnd"/>
      <w:proofErr w:type="gramEnd"/>
      <w:r>
        <w:rPr>
          <w:rFonts w:ascii="Times New Roman" w:hAnsi="Times New Roman"/>
          <w:sz w:val="28"/>
        </w:rPr>
        <w:t>» Песчанокопского района закупка включена в план-</w:t>
      </w:r>
      <w:proofErr w:type="spellStart"/>
      <w:r>
        <w:rPr>
          <w:rFonts w:ascii="Times New Roman" w:hAnsi="Times New Roman"/>
          <w:sz w:val="28"/>
        </w:rPr>
        <w:t>графинк</w:t>
      </w:r>
      <w:proofErr w:type="spellEnd"/>
      <w:r>
        <w:rPr>
          <w:rFonts w:ascii="Times New Roman" w:hAnsi="Times New Roman"/>
          <w:sz w:val="28"/>
        </w:rPr>
        <w:t xml:space="preserve"> закупок на 2025 год (Контрольная точка 1.1.1); заключен договор № 46 от 12.03.2025 г. (Контрольная точка 1.1.2.); произведена приемка поставленных товаров, проведенных работ и оказанных услуг - кресло-стул с санитарным оснащением – 1 шт., кресло-туалет – 2 шт. (Контрольная точка 1.1.3.);  полностью произведена оплата поставленных товаров, работ,  оказанных услуг (Контрольная точка 1.1.4.) -  на общую сумму - 108,9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</w:t>
      </w:r>
      <w:proofErr w:type="spellEnd"/>
      <w:r>
        <w:rPr>
          <w:rFonts w:ascii="Times New Roman" w:hAnsi="Times New Roman"/>
          <w:sz w:val="28"/>
        </w:rPr>
        <w:t>.</w:t>
      </w:r>
    </w:p>
    <w:p w:rsidR="00430BD2" w:rsidRDefault="00232A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реализацию комплекса процессных мероприятий «Социальная интеграция инвалидов и других маломобильных групп населения в общество» в 2025 году муниципальной программой выделение денежных средств не предусмотрено. Однако,  из пункта проката МБУ «Центр социального обслуживания граждан пожилого возраста и инвалидов» предоставлены технические средства реабилитации во временн</w:t>
      </w:r>
      <w:r>
        <w:rPr>
          <w:rFonts w:ascii="Times New Roman" w:hAnsi="Times New Roman"/>
          <w:color w:val="020B22"/>
          <w:sz w:val="28"/>
          <w:highlight w:val="white"/>
        </w:rPr>
        <w:t>ое пользование инвалидам и другим маломобильным группам населения в количестве 45 единиц.</w:t>
      </w:r>
    </w:p>
    <w:p w:rsidR="00430BD2" w:rsidRDefault="00232A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 достижения показателей.</w:t>
      </w:r>
    </w:p>
    <w:p w:rsidR="00232AF6" w:rsidRDefault="00232A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32AF6" w:rsidRDefault="00232A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32AF6" w:rsidRPr="00E35510" w:rsidRDefault="00232AF6" w:rsidP="00232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232AF6" w:rsidRPr="00E35510" w:rsidRDefault="00232AF6" w:rsidP="00232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232AF6" w:rsidRDefault="00232AF6" w:rsidP="00232A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232AF6" w:rsidSect="00232AF6">
      <w:headerReference w:type="default" r:id="rId12"/>
      <w:pgSz w:w="11908" w:h="16848"/>
      <w:pgMar w:top="567" w:right="567" w:bottom="567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F6" w:rsidRDefault="00232AF6">
      <w:pPr>
        <w:spacing w:after="0" w:line="240" w:lineRule="auto"/>
      </w:pPr>
      <w:r>
        <w:separator/>
      </w:r>
    </w:p>
  </w:endnote>
  <w:endnote w:type="continuationSeparator" w:id="0">
    <w:p w:rsidR="00232AF6" w:rsidRDefault="0023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288730"/>
      <w:docPartObj>
        <w:docPartGallery w:val="Page Numbers (Bottom of Page)"/>
        <w:docPartUnique/>
      </w:docPartObj>
    </w:sdtPr>
    <w:sdtEndPr/>
    <w:sdtContent>
      <w:p w:rsidR="00232AF6" w:rsidRDefault="00232AF6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D16">
          <w:rPr>
            <w:noProof/>
          </w:rPr>
          <w:t>2</w:t>
        </w:r>
        <w:r>
          <w:fldChar w:fldCharType="end"/>
        </w:r>
      </w:p>
    </w:sdtContent>
  </w:sdt>
  <w:p w:rsidR="00232AF6" w:rsidRDefault="00232AF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F6" w:rsidRDefault="00232AF6">
      <w:pPr>
        <w:spacing w:after="0" w:line="240" w:lineRule="auto"/>
      </w:pPr>
      <w:r>
        <w:separator/>
      </w:r>
    </w:p>
  </w:footnote>
  <w:footnote w:type="continuationSeparator" w:id="0">
    <w:p w:rsidR="00232AF6" w:rsidRDefault="0023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F6" w:rsidRDefault="00232AF6">
    <w:pPr>
      <w:pStyle w:val="af2"/>
      <w:jc w:val="center"/>
    </w:pPr>
  </w:p>
  <w:p w:rsidR="00232AF6" w:rsidRDefault="00232AF6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F6" w:rsidRDefault="00232AF6">
    <w:pPr>
      <w:pStyle w:val="af2"/>
      <w:jc w:val="center"/>
    </w:pPr>
  </w:p>
  <w:p w:rsidR="00232AF6" w:rsidRDefault="00232AF6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F6" w:rsidRDefault="00232AF6">
    <w:pPr>
      <w:pStyle w:val="af2"/>
      <w:jc w:val="center"/>
    </w:pPr>
  </w:p>
  <w:p w:rsidR="00232AF6" w:rsidRDefault="00232AF6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C28"/>
    <w:multiLevelType w:val="multilevel"/>
    <w:tmpl w:val="C3C02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4550D28"/>
    <w:multiLevelType w:val="multilevel"/>
    <w:tmpl w:val="EF2641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134CAF"/>
    <w:multiLevelType w:val="multilevel"/>
    <w:tmpl w:val="11F061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B865D7B"/>
    <w:multiLevelType w:val="multilevel"/>
    <w:tmpl w:val="F7A03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BD2"/>
    <w:rsid w:val="00232AF6"/>
    <w:rsid w:val="002C0D16"/>
    <w:rsid w:val="00430BD2"/>
    <w:rsid w:val="00E1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21">
    <w:name w:val="Знак сноски2"/>
    <w:basedOn w:val="22"/>
    <w:link w:val="23"/>
    <w:rPr>
      <w:vertAlign w:val="superscript"/>
    </w:rPr>
  </w:style>
  <w:style w:type="character" w:customStyle="1" w:styleId="23">
    <w:name w:val="Знак сноски2"/>
    <w:basedOn w:val="24"/>
    <w:link w:val="21"/>
    <w:rPr>
      <w:vertAlign w:val="superscript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25">
    <w:name w:val="toc 2"/>
    <w:next w:val="a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vertAlign w:val="superscript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"/>
    <w:link w:val="1c"/>
    <w:rPr>
      <w:rFonts w:ascii="Tahoma" w:hAnsi="Tahoma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a5">
    <w:link w:val="a6"/>
    <w:semiHidden/>
    <w:unhideWhenUsed/>
    <w:rPr>
      <w:rFonts w:ascii="Times New Roman" w:hAnsi="Times New Roman"/>
      <w:sz w:val="28"/>
    </w:rPr>
  </w:style>
  <w:style w:type="character" w:customStyle="1" w:styleId="a6">
    <w:link w:val="a5"/>
    <w:semiHidden/>
    <w:unhideWhenUsed/>
    <w:rPr>
      <w:rFonts w:ascii="Times New Roman" w:hAnsi="Times New Roman"/>
      <w:sz w:val="28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22">
    <w:name w:val="Основной шрифт абзаца2"/>
    <w:link w:val="24"/>
  </w:style>
  <w:style w:type="character" w:customStyle="1" w:styleId="24">
    <w:name w:val="Основной шрифт абзаца2"/>
    <w:link w:val="22"/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Знак примечания1"/>
    <w:basedOn w:val="17"/>
    <w:link w:val="1f5"/>
    <w:rPr>
      <w:sz w:val="16"/>
    </w:rPr>
  </w:style>
  <w:style w:type="character" w:customStyle="1" w:styleId="1f5">
    <w:name w:val="Знак примечания1"/>
    <w:basedOn w:val="19"/>
    <w:link w:val="1f4"/>
    <w:rPr>
      <w:sz w:val="16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f6">
    <w:name w:val="Знак концевой сноски1"/>
    <w:basedOn w:val="17"/>
    <w:link w:val="1f7"/>
    <w:rPr>
      <w:vertAlign w:val="superscript"/>
    </w:rPr>
  </w:style>
  <w:style w:type="character" w:customStyle="1" w:styleId="1f7">
    <w:name w:val="Знак концевой сноски1"/>
    <w:basedOn w:val="19"/>
    <w:link w:val="1f6"/>
    <w:rPr>
      <w:vertAlign w:val="superscript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43">
    <w:name w:val="Основной шрифт абзаца4"/>
  </w:style>
  <w:style w:type="paragraph" w:styleId="ad">
    <w:name w:val="Normal (Web)"/>
    <w:basedOn w:val="a"/>
    <w:link w:val="a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paragraph" w:customStyle="1" w:styleId="44">
    <w:name w:val="Гиперссылка4"/>
    <w:link w:val="af1"/>
    <w:rPr>
      <w:color w:val="0000FF"/>
      <w:u w:val="single"/>
    </w:rPr>
  </w:style>
  <w:style w:type="character" w:styleId="af1">
    <w:name w:val="Hyperlink"/>
    <w:link w:val="44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b/>
      <w:sz w:val="20"/>
    </w:rPr>
  </w:style>
  <w:style w:type="paragraph" w:customStyle="1" w:styleId="af8">
    <w:name w:val="Гипертекстовая ссылка"/>
    <w:link w:val="af9"/>
    <w:rPr>
      <w:color w:val="106BBE"/>
      <w:sz w:val="26"/>
    </w:rPr>
  </w:style>
  <w:style w:type="character" w:customStyle="1" w:styleId="af9">
    <w:name w:val="Гипертекстовая ссылка"/>
    <w:link w:val="af8"/>
    <w:rPr>
      <w:color w:val="106BBE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styleId="af5">
    <w:name w:val="annotation text"/>
    <w:basedOn w:val="a"/>
    <w:link w:val="af7"/>
    <w:pPr>
      <w:spacing w:after="160" w:line="264" w:lineRule="auto"/>
    </w:pPr>
    <w:rPr>
      <w:sz w:val="20"/>
    </w:rPr>
  </w:style>
  <w:style w:type="character" w:customStyle="1" w:styleId="af7">
    <w:name w:val="Текст примечания Знак"/>
    <w:basedOn w:val="1"/>
    <w:link w:val="af5"/>
    <w:rPr>
      <w:sz w:val="20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uiPriority w:val="99"/>
    <w:rPr>
      <w:sz w:val="22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table" w:customStyle="1" w:styleId="2f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8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2026-03-23T12:40:00Z</cp:lastPrinted>
  <dcterms:created xsi:type="dcterms:W3CDTF">2026-03-23T12:28:00Z</dcterms:created>
  <dcterms:modified xsi:type="dcterms:W3CDTF">2026-03-24T09:55:00Z</dcterms:modified>
</cp:coreProperties>
</file>