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0" w:left="5812"/>
      </w:pPr>
      <w:r>
        <w:rPr>
          <w:sz w:val="28"/>
        </w:rPr>
        <w:t>Приложение</w:t>
      </w:r>
    </w:p>
    <w:p w14:paraId="02000000">
      <w:pPr>
        <w:ind w:firstLine="0" w:left="5812"/>
        <w:jc w:val="both"/>
      </w:pPr>
      <w:r>
        <w:rPr>
          <w:sz w:val="28"/>
        </w:rPr>
        <w:t>к Докладу о достигнутых значениях показателей эффективности деятельности органов местного самоуправлени</w:t>
      </w:r>
      <w:r>
        <w:rPr>
          <w:sz w:val="28"/>
        </w:rPr>
        <w:t>я Песчанокопского района за 2021</w:t>
      </w:r>
      <w:r>
        <w:rPr>
          <w:sz w:val="28"/>
        </w:rPr>
        <w:t xml:space="preserve"> год и их планируемых значениях на 3-х летний период</w:t>
      </w:r>
    </w:p>
    <w:p w14:paraId="03000000">
      <w:pPr>
        <w:ind w:firstLine="0" w:left="5615"/>
        <w:jc w:val="both"/>
      </w:pPr>
    </w:p>
    <w:p w14:paraId="04000000">
      <w:pPr>
        <w:ind w:firstLine="0" w:left="5615"/>
        <w:jc w:val="both"/>
      </w:pPr>
    </w:p>
    <w:p w14:paraId="05000000">
      <w:pPr>
        <w:spacing w:line="276" w:lineRule="auto"/>
        <w:ind w:firstLine="709" w:left="0"/>
        <w:jc w:val="center"/>
      </w:pPr>
      <w:r>
        <w:rPr>
          <w:b w:val="1"/>
          <w:sz w:val="28"/>
        </w:rPr>
        <w:t>Пояснительная записка</w:t>
      </w:r>
    </w:p>
    <w:p w14:paraId="06000000">
      <w:pPr>
        <w:ind w:firstLine="709" w:left="0"/>
        <w:jc w:val="center"/>
        <w:rPr>
          <w:b w:val="1"/>
          <w:sz w:val="28"/>
        </w:rPr>
      </w:pPr>
    </w:p>
    <w:p w14:paraId="07000000">
      <w:pPr>
        <w:pStyle w:val="Style_1"/>
        <w:widowControl w:val="1"/>
        <w:spacing w:line="240" w:lineRule="auto"/>
        <w:ind w:firstLine="709" w:left="0"/>
        <w:jc w:val="center"/>
      </w:pPr>
      <w:r>
        <w:rPr>
          <w:b w:val="1"/>
          <w:sz w:val="28"/>
        </w:rPr>
        <w:t>I</w:t>
      </w:r>
      <w:r>
        <w:rPr>
          <w:b w:val="1"/>
          <w:sz w:val="28"/>
        </w:rPr>
        <w:t>. Экономическое развитие</w:t>
      </w:r>
    </w:p>
    <w:p w14:paraId="08000000">
      <w:pPr>
        <w:pStyle w:val="Style_1"/>
        <w:widowControl w:val="1"/>
        <w:spacing w:line="240" w:lineRule="auto"/>
        <w:ind w:firstLine="709" w:left="0"/>
        <w:jc w:val="center"/>
      </w:pPr>
    </w:p>
    <w:p w14:paraId="09000000">
      <w:pPr>
        <w:ind w:firstLine="709" w:left="0"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Показатель 1. Число субъектов малого и среднего предпринимательства в расчете на 10 тыс. человек населения. </w:t>
      </w:r>
    </w:p>
    <w:p w14:paraId="0A000000">
      <w:pPr>
        <w:ind w:firstLine="709" w:left="0"/>
        <w:jc w:val="both"/>
        <w:rPr>
          <w:color w:val="000000"/>
          <w:sz w:val="28"/>
        </w:rPr>
      </w:pPr>
    </w:p>
    <w:p w14:paraId="0B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Число субъектов малого и среднего предпринимательства в расчете на 10 тыс. человек населения составило в 2019 году 408,9 единиц, в 2020 году </w:t>
      </w:r>
      <w:r>
        <w:rPr>
          <w:color w:val="000000"/>
          <w:sz w:val="28"/>
        </w:rPr>
        <w:t>389,1</w:t>
      </w:r>
      <w:r>
        <w:rPr>
          <w:color w:val="000000"/>
          <w:sz w:val="28"/>
        </w:rPr>
        <w:t xml:space="preserve"> единицы.</w:t>
      </w:r>
    </w:p>
    <w:p w14:paraId="0C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В отчетном 2021 году зна</w:t>
      </w:r>
      <w:r>
        <w:rPr>
          <w:color w:val="000000"/>
          <w:sz w:val="28"/>
        </w:rPr>
        <w:t>чение показателя составило 391,8</w:t>
      </w:r>
      <w:r>
        <w:rPr>
          <w:color w:val="000000"/>
          <w:sz w:val="28"/>
        </w:rPr>
        <w:t xml:space="preserve"> единиц на 10 тыс. человек населения, что на </w:t>
      </w:r>
      <w:r>
        <w:rPr>
          <w:color w:val="000000"/>
          <w:sz w:val="28"/>
        </w:rPr>
        <w:t>2,7</w:t>
      </w:r>
      <w:r>
        <w:rPr>
          <w:color w:val="000000"/>
          <w:sz w:val="28"/>
        </w:rPr>
        <w:t xml:space="preserve"> единицы выше в сравнении с 2020 годом. </w:t>
      </w:r>
    </w:p>
    <w:p w14:paraId="0D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В прогнозном периоде 2022-2024 годов планируется рост данного показателя от 402,1 до 404 единиц, за счет роста числа малых и средних предприятий в соответствии с прогнозом социально-экономического развития Песчанокопского района раздела «Малое и среднее предпринимательство».</w:t>
      </w:r>
    </w:p>
    <w:p w14:paraId="0E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В целях достижения планируемых результатов деятельности по увеличению числа субъектов малого и среднего предпринимательства в районе реализуются мероприятия государственной программы Ростовской области «Экономическое развитие и инновационная экономика», муниципальной программы Песчанокопского района «Экономическое развитие и инновационная экономика», в части оказания финансовой, имущественной и консультационной поддержки субъектам малого и среднего предпринимательства и мероприятия, направленные на импортозамещение. На территории Песчанокопского района развита инфраструктура поддержки малого и среднего предпринимательства, работает некоммерческое партнерство «Песчанокопское агентство поддержки малого и среднего бизнеса».</w:t>
      </w:r>
    </w:p>
    <w:p w14:paraId="0F000000">
      <w:pPr>
        <w:ind w:firstLine="709" w:left="0"/>
        <w:jc w:val="both"/>
        <w:rPr>
          <w:color w:val="000000"/>
          <w:sz w:val="28"/>
        </w:rPr>
      </w:pPr>
    </w:p>
    <w:p w14:paraId="10000000">
      <w:pPr>
        <w:ind w:firstLine="709" w:left="0"/>
        <w:jc w:val="both"/>
        <w:rPr>
          <w:color w:val="000000"/>
        </w:rPr>
      </w:pPr>
      <w:r>
        <w:rPr>
          <w:b w:val="1"/>
          <w:color w:val="000000"/>
          <w:sz w:val="28"/>
        </w:rPr>
        <w:t>Показатель 2.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организаций.</w:t>
      </w:r>
    </w:p>
    <w:p w14:paraId="11000000">
      <w:pPr>
        <w:ind/>
        <w:jc w:val="both"/>
        <w:rPr>
          <w:b w:val="1"/>
          <w:color w:val="000000"/>
          <w:sz w:val="28"/>
        </w:rPr>
      </w:pPr>
    </w:p>
    <w:p w14:paraId="12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соста</w:t>
      </w:r>
      <w:r>
        <w:rPr>
          <w:color w:val="000000"/>
          <w:sz w:val="28"/>
        </w:rPr>
        <w:t>вила в 2019 году – 28,6%, в 2020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году – 30,2%, в 2021 году — 28,1</w:t>
      </w:r>
      <w:r>
        <w:rPr>
          <w:color w:val="000000"/>
          <w:sz w:val="28"/>
        </w:rPr>
        <w:t>%.</w:t>
      </w:r>
      <w:r>
        <w:rPr>
          <w:color w:val="000000"/>
          <w:sz w:val="28"/>
        </w:rPr>
        <w:t xml:space="preserve"> </w:t>
      </w:r>
    </w:p>
    <w:p w14:paraId="13000000">
      <w:pPr>
        <w:ind w:firstLine="709" w:left="0"/>
        <w:jc w:val="both"/>
        <w:rPr>
          <w:color w:val="000000"/>
        </w:rPr>
      </w:pPr>
      <w:r>
        <w:rPr>
          <w:color w:val="000000"/>
          <w:sz w:val="28"/>
        </w:rPr>
        <w:t>Произошло снижение показателя за счет уменьшения числа субъектов малого предпринимательства (в том числе ИП) в связи с сложившимися непростыми условиями в период пандемии.</w:t>
      </w:r>
    </w:p>
    <w:p w14:paraId="14000000">
      <w:pPr>
        <w:ind w:firstLine="709" w:left="0"/>
        <w:jc w:val="both"/>
        <w:rPr>
          <w:color w:val="000000"/>
        </w:rPr>
      </w:pPr>
      <w:r>
        <w:rPr>
          <w:color w:val="000000"/>
          <w:sz w:val="28"/>
        </w:rPr>
        <w:t>На период до 2024 года прогнозируется увеличение значения показателя доли среднесписочной численности работников малых и средних предприятий в среднесписочной численности работников всех предприятий и организаций по Песчанокопскому району от 31,2 процентных пункта  до 34,4. Увеличение показателя планируется достичь за счет реализации на территории Песчанокопского района инвестиционных проектов и за счет увеличения числа субъектов малого и среднего предпринимательства (в том числе ИП) и численности работающих на них.</w:t>
      </w:r>
    </w:p>
    <w:p w14:paraId="15000000">
      <w:pPr>
        <w:ind w:firstLine="690" w:left="0"/>
        <w:jc w:val="both"/>
        <w:rPr>
          <w:color w:val="000000"/>
        </w:rPr>
      </w:pPr>
      <w:r>
        <w:rPr>
          <w:b w:val="1"/>
          <w:color w:val="000000"/>
          <w:sz w:val="28"/>
        </w:rPr>
        <w:br/>
      </w:r>
      <w:r>
        <w:rPr>
          <w:b w:val="1"/>
          <w:color w:val="000000"/>
          <w:sz w:val="28"/>
        </w:rPr>
        <w:t xml:space="preserve">         Показатель 3. Объем инвестиций в основной капитал (за исключением бюджетных средств) в расчете на 1 жителя.</w:t>
      </w:r>
    </w:p>
    <w:p w14:paraId="16000000">
      <w:pPr>
        <w:ind w:firstLine="690" w:left="0"/>
        <w:jc w:val="both"/>
        <w:rPr>
          <w:b w:val="1"/>
          <w:color w:val="000000"/>
          <w:sz w:val="28"/>
        </w:rPr>
      </w:pPr>
    </w:p>
    <w:p w14:paraId="17000000">
      <w:pPr>
        <w:spacing w:line="240" w:lineRule="atLeast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В 2019 году показатель равнялся 6793,75 рублей, в 2020 году данный показатель снизился и составил 5378,22 рублей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В 2021 году объем инвестиций в основной капитал в расчете на 1 жителя составил </w:t>
      </w:r>
      <w:r>
        <w:rPr>
          <w:color w:val="000000"/>
          <w:sz w:val="28"/>
        </w:rPr>
        <w:t>6301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31</w:t>
      </w:r>
      <w:r>
        <w:rPr>
          <w:color w:val="000000"/>
          <w:sz w:val="28"/>
        </w:rPr>
        <w:t xml:space="preserve"> рублей</w:t>
      </w:r>
      <w:r>
        <w:rPr>
          <w:color w:val="000000"/>
          <w:sz w:val="28"/>
        </w:rPr>
        <w:t>.</w:t>
      </w:r>
    </w:p>
    <w:p w14:paraId="18000000">
      <w:pPr>
        <w:spacing w:line="240" w:lineRule="atLeast"/>
        <w:ind w:firstLine="709" w:left="0"/>
        <w:jc w:val="both"/>
        <w:rPr>
          <w:color w:val="000000"/>
        </w:rPr>
      </w:pPr>
      <w:r>
        <w:rPr>
          <w:color w:val="000000"/>
          <w:sz w:val="28"/>
        </w:rPr>
        <w:t>Увеличени</w:t>
      </w:r>
      <w:r>
        <w:rPr>
          <w:color w:val="000000"/>
          <w:sz w:val="28"/>
        </w:rPr>
        <w:t>е показателя обусловлено реализацией</w:t>
      </w:r>
      <w:r>
        <w:rPr>
          <w:color w:val="000000"/>
          <w:sz w:val="28"/>
        </w:rPr>
        <w:t xml:space="preserve"> на территории Песчанокопского района инвестиционных проектов</w:t>
      </w:r>
      <w:r>
        <w:rPr>
          <w:color w:val="000000"/>
          <w:sz w:val="28"/>
        </w:rPr>
        <w:t xml:space="preserve"> в сфере сельского хозяйства.</w:t>
      </w:r>
    </w:p>
    <w:p w14:paraId="19000000">
      <w:pPr>
        <w:spacing w:line="240" w:lineRule="atLeast"/>
        <w:ind/>
        <w:jc w:val="both"/>
        <w:rPr>
          <w:color w:val="000000"/>
        </w:rPr>
      </w:pPr>
      <w:r>
        <w:rPr>
          <w:color w:val="000000"/>
          <w:sz w:val="28"/>
        </w:rPr>
        <w:t xml:space="preserve">       На период до 2024 года на территории Песчанокопского района планируется </w:t>
      </w:r>
      <w:r>
        <w:rPr>
          <w:color w:val="000000"/>
          <w:sz w:val="28"/>
        </w:rPr>
        <w:t xml:space="preserve">рост данного показателя </w:t>
      </w:r>
      <w:r>
        <w:rPr>
          <w:color w:val="000000"/>
          <w:sz w:val="28"/>
        </w:rPr>
        <w:t>в 2022 году -6407,7, в 2023 году -6598,0, в 2024  году -6699,2</w:t>
      </w:r>
      <w:r>
        <w:rPr>
          <w:color w:val="000000"/>
          <w:sz w:val="28"/>
        </w:rPr>
        <w:t xml:space="preserve"> рублей за счет реализации новых инвестиционных проектов, а также счет реализации мероприятий по совершенствования технологических процессов на предприятиях района. </w:t>
      </w:r>
    </w:p>
    <w:p w14:paraId="1A000000">
      <w:pPr>
        <w:ind/>
        <w:jc w:val="both"/>
      </w:pPr>
    </w:p>
    <w:p w14:paraId="1B000000">
      <w:pPr>
        <w:ind w:firstLine="708" w:left="0"/>
        <w:jc w:val="both"/>
        <w:rPr>
          <w:b w:val="1"/>
          <w:i w:val="1"/>
          <w:sz w:val="28"/>
        </w:rPr>
      </w:pPr>
    </w:p>
    <w:p w14:paraId="1C000000">
      <w:pPr>
        <w:spacing w:line="100" w:lineRule="atLeast"/>
        <w:ind w:firstLine="709" w:left="0"/>
        <w:jc w:val="both"/>
      </w:pPr>
      <w:r>
        <w:rPr>
          <w:b w:val="1"/>
          <w:sz w:val="28"/>
        </w:rPr>
        <w:t>Показатель 4. 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района).</w:t>
      </w:r>
    </w:p>
    <w:p w14:paraId="1D000000">
      <w:pPr>
        <w:spacing w:line="100" w:lineRule="atLeast"/>
        <w:ind/>
        <w:jc w:val="both"/>
        <w:rPr>
          <w:b w:val="1"/>
          <w:sz w:val="28"/>
        </w:rPr>
      </w:pPr>
    </w:p>
    <w:p w14:paraId="1E000000">
      <w:pPr>
        <w:spacing w:line="100" w:lineRule="atLeast"/>
        <w:ind w:firstLine="709" w:left="0"/>
        <w:jc w:val="both"/>
      </w:pPr>
      <w:r>
        <w:rPr>
          <w:sz w:val="28"/>
        </w:rPr>
        <w:t xml:space="preserve">Доля площади земельных участков, являющихся объектами налогообложения земельным налогом, в общей площади территории муниципального района составила в </w:t>
      </w:r>
      <w:r>
        <w:rPr>
          <w:sz w:val="28"/>
        </w:rPr>
        <w:t xml:space="preserve"> 2019 году – 96,48%,</w:t>
      </w:r>
      <w:r>
        <w:t xml:space="preserve"> </w:t>
      </w:r>
      <w:r>
        <w:rPr>
          <w:sz w:val="28"/>
        </w:rPr>
        <w:t>2020 году – 96,48%, 2021 году -96,48%.</w:t>
      </w:r>
    </w:p>
    <w:p w14:paraId="1F000000">
      <w:pPr>
        <w:spacing w:line="100" w:lineRule="atLeast"/>
        <w:ind w:firstLine="709" w:left="0"/>
        <w:jc w:val="both"/>
      </w:pPr>
      <w:r>
        <w:rPr>
          <w:sz w:val="28"/>
        </w:rPr>
        <w:t>В течение 2021</w:t>
      </w:r>
      <w:r>
        <w:rPr>
          <w:sz w:val="28"/>
        </w:rPr>
        <w:t xml:space="preserve"> года производился выкуп земельных участков из аренды в собственность и будет сохраняться на уровне 100, 130 га. Это не окажет существенного влияния на долю площади земельных участков.</w:t>
      </w:r>
    </w:p>
    <w:p w14:paraId="20000000">
      <w:pPr>
        <w:ind w:firstLine="709" w:left="0"/>
      </w:pPr>
      <w:r>
        <w:rPr>
          <w:sz w:val="28"/>
        </w:rPr>
        <w:t>Прогнозируемые значения показателя подлежат ежегодной корректировке.</w:t>
      </w:r>
    </w:p>
    <w:p w14:paraId="21000000">
      <w:pPr>
        <w:spacing w:line="100" w:lineRule="atLeast"/>
        <w:ind w:firstLine="675" w:left="0"/>
        <w:jc w:val="both"/>
        <w:rPr>
          <w:highlight w:val="white"/>
        </w:rPr>
      </w:pPr>
    </w:p>
    <w:p w14:paraId="22000000">
      <w:pPr>
        <w:spacing w:line="100" w:lineRule="atLeast"/>
        <w:ind w:firstLine="709" w:left="0"/>
        <w:jc w:val="both"/>
        <w:rPr>
          <w:color w:val="000000"/>
        </w:rPr>
      </w:pPr>
      <w:r>
        <w:rPr>
          <w:b w:val="1"/>
          <w:color w:val="000000"/>
          <w:sz w:val="28"/>
        </w:rPr>
        <w:t>Показатель 5. Доля прибыльных сельскохозяйственных организаций в общем их числе.</w:t>
      </w:r>
    </w:p>
    <w:p w14:paraId="23000000">
      <w:pPr>
        <w:spacing w:line="100" w:lineRule="atLeast"/>
        <w:ind/>
        <w:jc w:val="both"/>
        <w:rPr>
          <w:color w:val="000000"/>
        </w:rPr>
      </w:pPr>
      <w:r>
        <w:rPr>
          <w:color w:val="000000"/>
          <w:sz w:val="28"/>
        </w:rPr>
        <w:t xml:space="preserve">         </w:t>
      </w:r>
    </w:p>
    <w:p w14:paraId="24000000">
      <w:pPr>
        <w:tabs>
          <w:tab w:leader="none" w:pos="540" w:val="left"/>
        </w:tabs>
        <w:spacing w:line="100" w:lineRule="atLeast"/>
        <w:ind w:firstLine="690" w:left="0"/>
        <w:jc w:val="both"/>
        <w:rPr>
          <w:color w:val="000000"/>
        </w:rPr>
      </w:pPr>
      <w:r>
        <w:rPr>
          <w:color w:val="000000"/>
          <w:sz w:val="28"/>
        </w:rPr>
        <w:t>Доля прибыльных сельскохозяйственных организаций в общем их ч</w:t>
      </w:r>
      <w:r>
        <w:rPr>
          <w:color w:val="000000"/>
          <w:sz w:val="28"/>
        </w:rPr>
        <w:t xml:space="preserve">исле составила </w:t>
      </w:r>
      <w:r>
        <w:rPr>
          <w:color w:val="000000"/>
          <w:sz w:val="28"/>
        </w:rPr>
        <w:t>в 2019 году – 33,3</w:t>
      </w:r>
      <w:r>
        <w:rPr>
          <w:color w:val="000000"/>
          <w:sz w:val="28"/>
        </w:rPr>
        <w:t xml:space="preserve"> в 2020 году – </w:t>
      </w:r>
      <w:r>
        <w:rPr>
          <w:color w:val="000000"/>
          <w:sz w:val="28"/>
        </w:rPr>
        <w:t>статистика скрыла данные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в 2021 году – 100%.</w:t>
      </w:r>
    </w:p>
    <w:p w14:paraId="25000000">
      <w:pPr>
        <w:tabs>
          <w:tab w:leader="none" w:pos="540" w:val="left"/>
        </w:tabs>
        <w:spacing w:line="100" w:lineRule="atLeast"/>
        <w:ind w:firstLine="690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В 2021 году, согласно годовых отчетов, по району получена прибыль от деятельности сельскохозяйственных организаций в размере – 1831241 тыс. рублей, что составляет 261,9 % к уровню прошлого года (699195,0 тыс. рублей</w:t>
      </w:r>
      <w:r>
        <w:rPr>
          <w:color w:val="000000"/>
          <w:sz w:val="28"/>
        </w:rPr>
        <w:t xml:space="preserve">. </w:t>
      </w:r>
      <w:r>
        <w:rPr>
          <w:color w:val="000000"/>
          <w:sz w:val="28"/>
        </w:rPr>
        <w:t xml:space="preserve"> Наибольшую прибыль получили АО «Агрокомплекс Развильное», ООО имени Кирова, ООО «Рассвет». С прибылью сработали и три животноводческих предприятия -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ООО « Южное Молоко»</w:t>
      </w:r>
      <w:r>
        <w:rPr>
          <w:color w:val="000000"/>
          <w:sz w:val="28"/>
        </w:rPr>
        <w:t>, ООО « Агропарк- Развильное» , ООО «Рассыпное».</w:t>
      </w:r>
    </w:p>
    <w:p w14:paraId="26000000">
      <w:pPr>
        <w:tabs>
          <w:tab w:leader="none" w:pos="540" w:val="left"/>
        </w:tabs>
        <w:spacing w:line="100" w:lineRule="atLeast"/>
        <w:ind/>
        <w:jc w:val="both"/>
        <w:rPr>
          <w:color w:val="000000"/>
        </w:rPr>
      </w:pPr>
    </w:p>
    <w:p w14:paraId="27000000">
      <w:pPr>
        <w:tabs>
          <w:tab w:leader="none" w:pos="540" w:val="left"/>
        </w:tabs>
        <w:spacing w:line="100" w:lineRule="atLeast"/>
        <w:ind w:firstLine="690" w:left="0"/>
        <w:jc w:val="both"/>
        <w:rPr>
          <w:color w:val="000000"/>
        </w:rPr>
      </w:pPr>
      <w:r>
        <w:rPr>
          <w:color w:val="000000"/>
          <w:sz w:val="28"/>
        </w:rPr>
        <w:t xml:space="preserve"> В планируемом периоде 2022-2024 годов за счет тесного взаимодействия администрации района с сельскохозяйственными предприятиями Песчанокопского района, проводимых мероприятиях по недопущению убыточных показателей, планируется сохранить долю прибыльных организаций в размере 100%.</w:t>
      </w:r>
    </w:p>
    <w:p w14:paraId="28000000">
      <w:pPr>
        <w:tabs>
          <w:tab w:leader="none" w:pos="540" w:val="left"/>
        </w:tabs>
        <w:spacing w:line="100" w:lineRule="atLeast"/>
        <w:ind w:firstLine="690" w:left="0"/>
        <w:jc w:val="both"/>
        <w:rPr>
          <w:sz w:val="28"/>
          <w:shd w:fill="99FF66" w:val="clear"/>
        </w:rPr>
      </w:pPr>
    </w:p>
    <w:p w14:paraId="29000000">
      <w:pPr>
        <w:widowControl w:val="0"/>
        <w:ind w:firstLine="709" w:left="0"/>
        <w:jc w:val="both"/>
        <w:rPr>
          <w:color w:val="000000"/>
          <w:sz w:val="20"/>
        </w:rPr>
      </w:pPr>
      <w:r>
        <w:rPr>
          <w:b w:val="1"/>
          <w:color w:val="000000"/>
          <w:sz w:val="28"/>
        </w:rPr>
        <w:t>Показатель 6.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значения.</w:t>
      </w:r>
    </w:p>
    <w:p w14:paraId="2A000000">
      <w:pPr>
        <w:widowControl w:val="0"/>
        <w:ind/>
        <w:jc w:val="both"/>
        <w:rPr>
          <w:color w:val="000000"/>
          <w:sz w:val="28"/>
        </w:rPr>
      </w:pPr>
    </w:p>
    <w:p w14:paraId="2B000000">
      <w:pPr>
        <w:widowControl w:val="0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составила в 2019 году –31,66 %, в 2020 году – 29,4 %, в 2021 году – 30,2</w:t>
      </w:r>
      <w:r>
        <w:rPr>
          <w:color w:val="000000"/>
          <w:sz w:val="28"/>
        </w:rPr>
        <w:t>3</w:t>
      </w:r>
      <w:r>
        <w:rPr>
          <w:color w:val="000000"/>
          <w:sz w:val="28"/>
        </w:rPr>
        <w:t xml:space="preserve"> %.</w:t>
      </w:r>
    </w:p>
    <w:p w14:paraId="2C000000">
      <w:pPr>
        <w:widowControl w:val="0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В 2021 году была проведена инвентаризация автомобильных дорог, в связи с чем увеличилась общая протяженность автомобильных дорог в Песчанокопском районе. Администрацией Рассыпненского сельского поселения передана автомобильная дорога в ненормативном состоянии, что повлекло увеличение показателя «протяженность дорог, не отвечающих нормативным требованиям»</w:t>
      </w:r>
    </w:p>
    <w:p w14:paraId="2D000000">
      <w:pPr>
        <w:ind w:firstLine="708" w:left="0"/>
        <w:jc w:val="both"/>
        <w:rPr>
          <w:color w:val="000000"/>
        </w:rPr>
      </w:pPr>
      <w:r>
        <w:rPr>
          <w:color w:val="000000"/>
          <w:sz w:val="28"/>
        </w:rPr>
        <w:t>В плановом периоде 2022-2024 годах планируется снижение показателя до 25,0 % за счет проведения капитального ремонта и обслуживания дорог.</w:t>
      </w:r>
    </w:p>
    <w:p w14:paraId="2E000000">
      <w:pPr>
        <w:widowControl w:val="0"/>
        <w:ind w:firstLine="690" w:left="0"/>
        <w:jc w:val="both"/>
        <w:rPr>
          <w:color w:val="000000"/>
          <w:sz w:val="28"/>
        </w:rPr>
      </w:pPr>
    </w:p>
    <w:p w14:paraId="2F000000">
      <w:pPr>
        <w:pStyle w:val="Style_2"/>
        <w:ind w:firstLine="690" w:left="0"/>
        <w:jc w:val="both"/>
        <w:rPr>
          <w:color w:val="000000"/>
          <w:sz w:val="28"/>
        </w:rPr>
      </w:pPr>
    </w:p>
    <w:p w14:paraId="30000000">
      <w:pPr>
        <w:pStyle w:val="Style_2"/>
        <w:ind w:firstLine="690" w:left="0"/>
        <w:jc w:val="both"/>
        <w:rPr>
          <w:color w:val="000000"/>
          <w:sz w:val="28"/>
        </w:rPr>
      </w:pPr>
    </w:p>
    <w:p w14:paraId="31000000">
      <w:pPr>
        <w:pStyle w:val="Style_2"/>
        <w:ind w:firstLine="709" w:left="0"/>
        <w:jc w:val="both"/>
      </w:pPr>
      <w:r>
        <w:rPr>
          <w:b w:val="1"/>
          <w:color w:val="000000"/>
          <w:sz w:val="28"/>
        </w:rPr>
        <w:t xml:space="preserve">Показатель 7. </w:t>
      </w:r>
      <w:r>
        <w:rPr>
          <w:b w:val="1"/>
          <w:color w:val="000000"/>
          <w:sz w:val="28"/>
        </w:rPr>
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района).</w:t>
      </w:r>
    </w:p>
    <w:p w14:paraId="32000000">
      <w:pPr>
        <w:pStyle w:val="Style_2"/>
        <w:ind/>
        <w:jc w:val="both"/>
        <w:rPr>
          <w:color w:val="000000"/>
        </w:rPr>
      </w:pPr>
    </w:p>
    <w:p w14:paraId="33000000">
      <w:pPr>
        <w:ind w:firstLine="709" w:left="0"/>
        <w:jc w:val="both"/>
      </w:pPr>
      <w:r>
        <w:rPr>
          <w:color w:val="000000"/>
          <w:sz w:val="28"/>
        </w:rPr>
        <w:t>Данный показатель в 2019</w:t>
      </w:r>
      <w:r>
        <w:rPr>
          <w:color w:val="000000"/>
          <w:sz w:val="28"/>
        </w:rPr>
        <w:t>-2021</w:t>
      </w:r>
      <w:r>
        <w:rPr>
          <w:color w:val="000000"/>
          <w:sz w:val="28"/>
        </w:rPr>
        <w:t xml:space="preserve"> годах имеет фактическое нулевое значение. На территории Песчанокопского района отсутствуют населенные пункты, не имеющие регулярного автобусного или железнодорожного сообщения.</w:t>
      </w:r>
    </w:p>
    <w:p w14:paraId="34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В 2022-2024</w:t>
      </w:r>
      <w:r>
        <w:rPr>
          <w:color w:val="000000"/>
          <w:sz w:val="28"/>
        </w:rPr>
        <w:t xml:space="preserve"> годах изменение данного показателя не планируется.</w:t>
      </w:r>
    </w:p>
    <w:p w14:paraId="35000000">
      <w:pPr>
        <w:ind w:firstLine="709" w:left="0"/>
        <w:jc w:val="both"/>
      </w:pPr>
    </w:p>
    <w:p w14:paraId="36000000">
      <w:pPr>
        <w:ind/>
        <w:jc w:val="both"/>
        <w:rPr>
          <w:color w:val="000000"/>
          <w:sz w:val="28"/>
        </w:rPr>
      </w:pPr>
    </w:p>
    <w:p w14:paraId="37000000">
      <w:pPr>
        <w:tabs>
          <w:tab w:leader="none" w:pos="1440" w:val="left"/>
        </w:tabs>
        <w:spacing w:line="100" w:lineRule="atLeast"/>
        <w:ind w:firstLine="709" w:left="0"/>
        <w:jc w:val="both"/>
        <w:rPr>
          <w:color w:val="000000"/>
        </w:rPr>
      </w:pPr>
      <w:r>
        <w:rPr>
          <w:b w:val="1"/>
          <w:sz w:val="28"/>
        </w:rPr>
        <w:t>Показатель 8. Среднемесячная номинальная заработная плата работников: крупных и средних предприятий и некоммерческих организаций;</w:t>
      </w:r>
      <w:r>
        <w:rPr>
          <w:b w:val="1"/>
          <w:color w:val="000000"/>
          <w:sz w:val="28"/>
        </w:rPr>
        <w:t xml:space="preserve"> муниципальных дошкольных образовательных учреждений; муниципальных общеобразовательных учреждений; муниципальных учреждений культуры и искусства; муниципальных учреждений физической культуры и спорта.</w:t>
      </w:r>
    </w:p>
    <w:p w14:paraId="38000000">
      <w:pPr>
        <w:tabs>
          <w:tab w:leader="none" w:pos="1440" w:val="left"/>
        </w:tabs>
        <w:spacing w:line="100" w:lineRule="atLeast"/>
        <w:ind w:firstLine="709" w:left="0"/>
        <w:jc w:val="both"/>
        <w:rPr>
          <w:b w:val="1"/>
          <w:color w:val="000000"/>
          <w:sz w:val="28"/>
        </w:rPr>
      </w:pPr>
    </w:p>
    <w:p w14:paraId="39000000">
      <w:pPr>
        <w:ind/>
        <w:jc w:val="both"/>
        <w:rPr>
          <w:color w:val="000000"/>
        </w:rPr>
      </w:pPr>
      <w:r>
        <w:rPr>
          <w:color w:val="000000"/>
          <w:sz w:val="28"/>
        </w:rPr>
        <w:t xml:space="preserve">       Среднемесячная номинальная заработная плата работников крупных и средних предприятий и некоммерческих организаций в 2019 году составляла 27449,5 руб. в 2020 году – 29434,6 руб., в 2021 году – </w:t>
      </w:r>
      <w:r>
        <w:rPr>
          <w:color w:val="000000"/>
          <w:sz w:val="28"/>
        </w:rPr>
        <w:t>33435,2</w:t>
      </w:r>
      <w:r>
        <w:rPr>
          <w:color w:val="000000"/>
          <w:sz w:val="28"/>
        </w:rPr>
        <w:t xml:space="preserve"> руб.</w:t>
      </w:r>
      <w:r>
        <w:rPr>
          <w:color w:val="000000"/>
        </w:rPr>
        <w:t xml:space="preserve"> </w:t>
      </w:r>
      <w:r>
        <w:rPr>
          <w:color w:val="000000"/>
          <w:sz w:val="28"/>
        </w:rPr>
        <w:t xml:space="preserve">Среднемесячная номинальная заработная плата работников крупных и средних предприятий и некоммерческих организаций Песчанокопского района увеличилась по сравнению с 2020 годом на </w:t>
      </w:r>
      <w:r>
        <w:rPr>
          <w:color w:val="000000"/>
          <w:sz w:val="28"/>
        </w:rPr>
        <w:t>1,14</w:t>
      </w:r>
      <w:r>
        <w:rPr>
          <w:color w:val="000000"/>
          <w:sz w:val="28"/>
        </w:rPr>
        <w:t xml:space="preserve"> процентных пункта.</w:t>
      </w:r>
    </w:p>
    <w:p w14:paraId="3A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В соответствии с прогнозными данными темпы роста среднемесячной номинальной заработной платы работников крупных и средних предприятий и некоммерческих органи</w:t>
      </w:r>
      <w:r>
        <w:rPr>
          <w:color w:val="000000"/>
          <w:sz w:val="28"/>
        </w:rPr>
        <w:t>заций составят в 2022 году - 102</w:t>
      </w:r>
      <w:r>
        <w:rPr>
          <w:color w:val="000000"/>
          <w:sz w:val="28"/>
        </w:rPr>
        <w:t xml:space="preserve">,0%, при среднемесячной заработной плате </w:t>
      </w:r>
      <w:r>
        <w:rPr>
          <w:color w:val="000000"/>
          <w:sz w:val="28"/>
        </w:rPr>
        <w:t>34103,9</w:t>
      </w:r>
      <w:r>
        <w:rPr>
          <w:color w:val="000000"/>
          <w:sz w:val="28"/>
        </w:rPr>
        <w:t xml:space="preserve"> руб., в 2023 году – </w:t>
      </w:r>
      <w:r>
        <w:rPr>
          <w:color w:val="000000"/>
          <w:sz w:val="28"/>
        </w:rPr>
        <w:t>104,9</w:t>
      </w:r>
      <w:r>
        <w:rPr>
          <w:color w:val="000000"/>
          <w:sz w:val="28"/>
        </w:rPr>
        <w:t xml:space="preserve">%, при среднемесячной заработной плате </w:t>
      </w:r>
      <w:r>
        <w:rPr>
          <w:color w:val="000000"/>
          <w:sz w:val="28"/>
        </w:rPr>
        <w:t>35809,0 руб., в 2024 году – 105</w:t>
      </w:r>
      <w:r>
        <w:rPr>
          <w:color w:val="000000"/>
          <w:sz w:val="28"/>
        </w:rPr>
        <w:t xml:space="preserve">%, при среднемесячной заработной плате </w:t>
      </w:r>
      <w:r>
        <w:rPr>
          <w:color w:val="000000"/>
          <w:sz w:val="28"/>
        </w:rPr>
        <w:t>37599,</w:t>
      </w:r>
      <w:r>
        <w:rPr>
          <w:color w:val="000000"/>
          <w:sz w:val="28"/>
        </w:rPr>
        <w:t>45</w:t>
      </w:r>
      <w:r>
        <w:rPr>
          <w:color w:val="000000"/>
          <w:sz w:val="28"/>
        </w:rPr>
        <w:t xml:space="preserve"> руб. Темпы роста заработной платы работников крупных и средних предприятий спрогнозированы с учетом прогнозных данных социально-экономического развития района на 2022-2024годы. На уровень оплаты труда работников крупных и средних предприятий в первую очередь влияет уровень оплаты труда работников сельскохозяйственных предприятий района. </w:t>
      </w:r>
    </w:p>
    <w:p w14:paraId="3B000000">
      <w:pPr>
        <w:ind w:firstLine="567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Среднемесячная номинальная заработная плата работников муниципальных</w:t>
      </w:r>
    </w:p>
    <w:p w14:paraId="3C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дошкольных образовательных учреждений в 2019 году - 18411,3 руб., в 2020 году –</w:t>
      </w:r>
    </w:p>
    <w:p w14:paraId="3D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19539,2 </w:t>
      </w:r>
      <w:r>
        <w:rPr>
          <w:color w:val="000000"/>
          <w:sz w:val="28"/>
        </w:rPr>
        <w:t xml:space="preserve">руб., в 2021 году – 20787,9 руб. </w:t>
      </w:r>
      <w:r>
        <w:rPr>
          <w:color w:val="000000"/>
          <w:sz w:val="28"/>
        </w:rPr>
        <w:t>Повышение заработной платы педагогических работников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произошло за счет выплат стимулирующего характера педагогическим работникам,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определенным указами Президента Российской Федерации от 07.05.2012г. №597 «О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мерах по реализации государственной социальной политики». В 2022 году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планируется сохранение уровня среднемесячной заработной платы в размере не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ниже 21619,4 руб., в 2023 году- 22484,1 руб., в 2024 году – 23383,4 руб.</w:t>
      </w:r>
    </w:p>
    <w:p w14:paraId="3E000000">
      <w:pPr>
        <w:ind w:firstLine="567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Среднемесячная номинальная заработная плата работников муниципальных</w:t>
      </w:r>
    </w:p>
    <w:p w14:paraId="3F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об</w:t>
      </w:r>
      <w:r>
        <w:rPr>
          <w:color w:val="000000"/>
          <w:sz w:val="28"/>
        </w:rPr>
        <w:t>щеобразовательных учреждений в 2019 году- 25531,9 руб., в 2020 году – 27227,6</w:t>
      </w:r>
    </w:p>
    <w:p w14:paraId="40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руб., в 2021 году –29548,1 руб. Повышение заработной платы в 108,2% произошло</w:t>
      </w:r>
    </w:p>
    <w:p w14:paraId="41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за счет выплат стимулирующего характера педагогическим работникам,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определенным указами Президента Российской Федерации от 07.05.2012г. №597 «О</w:t>
      </w:r>
    </w:p>
    <w:p w14:paraId="42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мерах по реализации государственной социальной политики». В 2022 году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планируется сохранение уровня среднемесячной заработной платы в размере не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ниже 34378,7 руб., в 2023 году – 35753,8 руб., в 2024 году – 37183,9 руб.</w:t>
      </w:r>
    </w:p>
    <w:p w14:paraId="43000000">
      <w:pPr>
        <w:ind w:firstLine="284" w:left="0"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Среднемесячная номинальная заработная плата учителей муниципальных</w:t>
      </w:r>
    </w:p>
    <w:p w14:paraId="44000000">
      <w:pPr>
        <w:ind/>
        <w:jc w:val="both"/>
        <w:rPr>
          <w:sz w:val="28"/>
        </w:rPr>
      </w:pPr>
      <w:r>
        <w:rPr>
          <w:sz w:val="28"/>
        </w:rPr>
        <w:t>общеобразовательных учреждений в 2019 году-29536,5 руб., в 2020 году – 31710</w:t>
      </w:r>
    </w:p>
    <w:p w14:paraId="45000000">
      <w:pPr>
        <w:ind/>
        <w:jc w:val="both"/>
        <w:rPr>
          <w:sz w:val="28"/>
        </w:rPr>
      </w:pPr>
      <w:r>
        <w:rPr>
          <w:sz w:val="28"/>
        </w:rPr>
        <w:t>руб., в 2021 году – 31570,1 руб. Повышение заработной платы в 108,7% произошло</w:t>
      </w:r>
    </w:p>
    <w:p w14:paraId="46000000">
      <w:pPr>
        <w:ind/>
        <w:jc w:val="both"/>
        <w:rPr>
          <w:sz w:val="28"/>
        </w:rPr>
      </w:pPr>
      <w:r>
        <w:rPr>
          <w:sz w:val="28"/>
        </w:rPr>
        <w:t>за счет выплат стимулирующего характера педагогическим работникам,</w:t>
      </w:r>
      <w:r>
        <w:rPr>
          <w:sz w:val="28"/>
        </w:rPr>
        <w:t xml:space="preserve"> </w:t>
      </w:r>
      <w:r>
        <w:rPr>
          <w:sz w:val="28"/>
        </w:rPr>
        <w:t>определенным указами Президента Российской Федерации от 07.05.2012 г №597 «О</w:t>
      </w:r>
    </w:p>
    <w:p w14:paraId="47000000">
      <w:pPr>
        <w:ind w:firstLine="284" w:left="0"/>
        <w:jc w:val="both"/>
        <w:rPr>
          <w:sz w:val="28"/>
        </w:rPr>
      </w:pPr>
      <w:r>
        <w:rPr>
          <w:sz w:val="28"/>
        </w:rPr>
        <w:t>мерах по реализации государственной социальной политики». С целью исполнения</w:t>
      </w:r>
      <w:r>
        <w:rPr>
          <w:sz w:val="28"/>
        </w:rPr>
        <w:t xml:space="preserve"> </w:t>
      </w:r>
      <w:r>
        <w:rPr>
          <w:sz w:val="28"/>
        </w:rPr>
        <w:t>Указа Президента Российской Федерации от 07.05.2012г. №597 «О мерах по</w:t>
      </w:r>
      <w:r>
        <w:rPr>
          <w:sz w:val="28"/>
        </w:rPr>
        <w:t xml:space="preserve"> </w:t>
      </w:r>
      <w:r>
        <w:rPr>
          <w:sz w:val="28"/>
        </w:rPr>
        <w:t>реализации государственной социальной политики» в 2022 году планируется</w:t>
      </w:r>
      <w:r>
        <w:rPr>
          <w:sz w:val="28"/>
        </w:rPr>
        <w:t xml:space="preserve"> </w:t>
      </w:r>
      <w:r>
        <w:rPr>
          <w:sz w:val="28"/>
        </w:rPr>
        <w:t>сохранение уровня среднемесячной заработной платы в размере не ниже 32832,9</w:t>
      </w:r>
      <w:r>
        <w:rPr>
          <w:sz w:val="28"/>
        </w:rPr>
        <w:t xml:space="preserve"> </w:t>
      </w:r>
      <w:r>
        <w:rPr>
          <w:sz w:val="28"/>
        </w:rPr>
        <w:t>руб., в 2023 году- 34146,2 руб., в 2024 году - 35512 руб.</w:t>
      </w:r>
    </w:p>
    <w:p w14:paraId="48000000">
      <w:pPr>
        <w:ind w:firstLine="284" w:left="0"/>
        <w:jc w:val="both"/>
        <w:rPr>
          <w:color w:val="000000"/>
          <w:sz w:val="28"/>
        </w:rPr>
      </w:pPr>
    </w:p>
    <w:p w14:paraId="49000000">
      <w:pPr>
        <w:ind w:firstLine="690" w:left="0"/>
        <w:jc w:val="both"/>
        <w:rPr>
          <w:color w:val="000000"/>
        </w:rPr>
      </w:pPr>
      <w:r>
        <w:rPr>
          <w:color w:val="000000"/>
          <w:sz w:val="28"/>
        </w:rPr>
        <w:t xml:space="preserve">Среднемесячная номинальная заработная плата работников муниципальных учреждений культуры в 2020 году –28765,6 рублей, в 2021 году – </w:t>
      </w:r>
      <w:r>
        <w:rPr>
          <w:color w:val="000000"/>
          <w:sz w:val="28"/>
        </w:rPr>
        <w:t xml:space="preserve">32373,5 рублей </w:t>
      </w:r>
      <w:r>
        <w:rPr>
          <w:color w:val="000000"/>
          <w:sz w:val="28"/>
        </w:rPr>
        <w:t xml:space="preserve"> в 2022 – 33056,5 рублей.  Повышение заработной платы произошло за счет выплат стимулирующего характера работникам культуры, определенным указами Президента Российской Федерации от 07.05.2012 г №597 «О мерах по реализации государственной социальной политики». В 2022-2024 годах планируется сохранение уровня среднемесячной заработной платы в размере не ниже 33056,5 рублей в 2022 году, 35238,3 рублей в 2023году и 37564,0 рублей  в 2024 году.</w:t>
      </w:r>
    </w:p>
    <w:p w14:paraId="4A000000">
      <w:pPr>
        <w:ind w:firstLine="690" w:left="0"/>
        <w:jc w:val="both"/>
        <w:rPr>
          <w:color w:val="000000"/>
          <w:highlight w:val="white"/>
        </w:rPr>
      </w:pPr>
      <w:r>
        <w:rPr>
          <w:color w:val="000000"/>
          <w:sz w:val="28"/>
        </w:rPr>
        <w:t xml:space="preserve">        </w:t>
      </w:r>
    </w:p>
    <w:p w14:paraId="4B000000">
      <w:pPr>
        <w:ind w:firstLine="709" w:left="0"/>
        <w:jc w:val="both"/>
        <w:rPr>
          <w:color w:val="000000"/>
          <w:sz w:val="28"/>
        </w:rPr>
      </w:pPr>
    </w:p>
    <w:p w14:paraId="4C000000">
      <w:pPr>
        <w:ind w:firstLine="690" w:left="0"/>
        <w:jc w:val="both"/>
        <w:rPr>
          <w:sz w:val="28"/>
        </w:rPr>
      </w:pPr>
    </w:p>
    <w:p w14:paraId="4D000000">
      <w:pPr>
        <w:ind w:firstLine="690" w:left="0"/>
        <w:jc w:val="center"/>
        <w:rPr>
          <w:color w:val="000000"/>
        </w:rPr>
      </w:pPr>
      <w:r>
        <w:rPr>
          <w:b w:val="1"/>
          <w:color w:val="000000"/>
          <w:sz w:val="28"/>
        </w:rPr>
        <w:t>II. Дошкольное образование</w:t>
      </w:r>
    </w:p>
    <w:p w14:paraId="4E000000">
      <w:pPr>
        <w:ind w:firstLine="690" w:left="0"/>
        <w:jc w:val="center"/>
        <w:rPr>
          <w:color w:val="000000"/>
        </w:rPr>
      </w:pPr>
    </w:p>
    <w:p w14:paraId="4F000000">
      <w:pPr>
        <w:ind w:firstLine="709" w:left="0"/>
        <w:jc w:val="both"/>
        <w:rPr>
          <w:color w:val="000000"/>
        </w:rPr>
      </w:pPr>
      <w:r>
        <w:rPr>
          <w:b w:val="1"/>
          <w:color w:val="000000"/>
          <w:sz w:val="28"/>
        </w:rPr>
        <w:t>Показатель 9. Доля детей в возрасте 1-6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1-6 лет.</w:t>
      </w:r>
    </w:p>
    <w:p w14:paraId="50000000">
      <w:pPr>
        <w:ind w:firstLine="709" w:left="0"/>
        <w:jc w:val="both"/>
        <w:rPr>
          <w:b w:val="1"/>
          <w:color w:val="000000"/>
          <w:sz w:val="28"/>
        </w:rPr>
      </w:pPr>
    </w:p>
    <w:p w14:paraId="51000000">
      <w:pPr>
        <w:ind w:firstLine="709" w:left="0"/>
        <w:jc w:val="both"/>
        <w:rPr>
          <w:color w:val="000000"/>
        </w:rPr>
      </w:pPr>
      <w:r>
        <w:rPr>
          <w:color w:val="000000"/>
          <w:sz w:val="28"/>
        </w:rPr>
        <w:t>В 2019 году - 63%, в 2020 году – 65,7</w:t>
      </w:r>
      <w:r>
        <w:rPr>
          <w:sz w:val="28"/>
        </w:rPr>
        <w:t>%, в 2021 году – 67,1</w:t>
      </w:r>
      <w:r>
        <w:rPr>
          <w:sz w:val="28"/>
        </w:rPr>
        <w:t>%</w:t>
      </w:r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 xml:space="preserve">.Это обусловлено зачислением детей в детские сады. </w:t>
      </w:r>
    </w:p>
    <w:p w14:paraId="52000000">
      <w:pPr>
        <w:ind w:firstLine="690" w:left="0"/>
        <w:jc w:val="both"/>
        <w:rPr>
          <w:color w:val="000000"/>
        </w:rPr>
      </w:pPr>
      <w:r>
        <w:rPr>
          <w:color w:val="000000"/>
          <w:sz w:val="28"/>
        </w:rPr>
        <w:t xml:space="preserve">В плановый период планируется сохранение доли детей в возрасте от 1 до 6 лет, получающих дошкольную образовательную услугу в 2022-2024 годах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67,1</w:t>
      </w:r>
      <w:r>
        <w:rPr>
          <w:sz w:val="28"/>
        </w:rPr>
        <w:t>%.</w:t>
      </w:r>
    </w:p>
    <w:p w14:paraId="53000000">
      <w:pPr>
        <w:ind w:firstLine="709" w:left="0"/>
        <w:jc w:val="both"/>
        <w:rPr>
          <w:b w:val="1"/>
          <w:color w:val="000000"/>
          <w:sz w:val="28"/>
        </w:rPr>
      </w:pPr>
    </w:p>
    <w:p w14:paraId="54000000">
      <w:pPr>
        <w:ind w:firstLine="709" w:left="0"/>
        <w:jc w:val="both"/>
      </w:pPr>
      <w:r>
        <w:rPr>
          <w:b w:val="1"/>
          <w:sz w:val="28"/>
        </w:rPr>
        <w:t>Показатель 10. Доля детей в возрасте 1-6 лет, стоящих на учете для определения в муниципальные дошкольные образовательные учреждения, в общей численности детей в возрасте 1-6 лет.</w:t>
      </w:r>
    </w:p>
    <w:p w14:paraId="55000000">
      <w:pPr>
        <w:ind/>
        <w:jc w:val="both"/>
        <w:rPr>
          <w:sz w:val="28"/>
          <w:shd w:fill="99FF66" w:val="clear"/>
        </w:rPr>
      </w:pPr>
    </w:p>
    <w:p w14:paraId="56000000">
      <w:pPr>
        <w:ind w:firstLine="709" w:left="0"/>
        <w:jc w:val="both"/>
      </w:pPr>
      <w:r>
        <w:rPr>
          <w:sz w:val="28"/>
        </w:rPr>
        <w:t xml:space="preserve">Доля детей в возрасте 1-6 лет, стоящих на учете для определения в муниципальные дошкольные образовательные учреждения, в общей численности детей в возрасте 1-6 лет в 2019 году - 4,29%, в 2020 году - 3,75%, в 2021 году – </w:t>
      </w:r>
      <w:r>
        <w:rPr>
          <w:sz w:val="28"/>
        </w:rPr>
        <w:t>6,02</w:t>
      </w:r>
      <w:r>
        <w:rPr>
          <w:sz w:val="28"/>
        </w:rPr>
        <w:t>%.</w:t>
      </w:r>
    </w:p>
    <w:p w14:paraId="57000000">
      <w:pPr>
        <w:ind w:firstLine="709" w:left="0"/>
        <w:jc w:val="both"/>
      </w:pPr>
      <w:r>
        <w:rPr>
          <w:sz w:val="28"/>
        </w:rPr>
        <w:t xml:space="preserve">В 2021 году доля детей в возрасте 1-6 лет, стоящих на учете для определения в муниципальные дошкольные образовательные учреждения, составила </w:t>
      </w:r>
      <w:r>
        <w:rPr>
          <w:sz w:val="28"/>
        </w:rPr>
        <w:t>6,02</w:t>
      </w:r>
      <w:r>
        <w:rPr>
          <w:sz w:val="28"/>
        </w:rPr>
        <w:t xml:space="preserve">%, что </w:t>
      </w:r>
      <w:r>
        <w:rPr>
          <w:sz w:val="28"/>
        </w:rPr>
        <w:t xml:space="preserve">больше </w:t>
      </w:r>
      <w:r>
        <w:rPr>
          <w:sz w:val="28"/>
        </w:rPr>
        <w:t xml:space="preserve"> значения показателя за 2020 год. Это обусловлено  зачислением  и наличием очередности детей дошкольного возраста для предоставления места в дошкольные образовательные учреждения. «Актуальная очередь» по состоянию на 30 декабря 2021 года отсутствует, все заявления, поданные в 2021 году, удовлетворены. </w:t>
      </w:r>
    </w:p>
    <w:p w14:paraId="58000000">
      <w:pPr>
        <w:ind w:firstLine="709" w:left="0"/>
        <w:jc w:val="both"/>
      </w:pPr>
      <w:r>
        <w:rPr>
          <w:sz w:val="28"/>
        </w:rPr>
        <w:t>В 2022-2024 годах планируется сохранение нулевого показателя по «актуальной очереди».</w:t>
      </w:r>
    </w:p>
    <w:p w14:paraId="59000000">
      <w:pPr>
        <w:ind w:firstLine="709" w:left="0"/>
        <w:jc w:val="both"/>
        <w:rPr>
          <w:color w:val="000000"/>
        </w:rPr>
      </w:pPr>
      <w:r>
        <w:rPr>
          <w:b w:val="1"/>
          <w:color w:val="000000"/>
          <w:sz w:val="28"/>
        </w:rPr>
        <w:t>Показатель 11. 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учреждений.</w:t>
      </w:r>
    </w:p>
    <w:p w14:paraId="5A000000">
      <w:pPr>
        <w:ind w:firstLine="709" w:left="0"/>
        <w:jc w:val="both"/>
        <w:rPr>
          <w:b w:val="1"/>
          <w:color w:val="000000"/>
          <w:sz w:val="28"/>
        </w:rPr>
      </w:pPr>
    </w:p>
    <w:p w14:paraId="5B000000">
      <w:pPr>
        <w:ind w:firstLine="709" w:left="0"/>
        <w:jc w:val="both"/>
        <w:rPr>
          <w:color w:val="000000"/>
        </w:rPr>
      </w:pPr>
      <w:r>
        <w:rPr>
          <w:color w:val="000000"/>
          <w:sz w:val="28"/>
        </w:rPr>
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 в 2019 году – 0%, в 2020 году – 0%, в 2021 году - 0%.</w:t>
      </w:r>
    </w:p>
    <w:p w14:paraId="5C000000">
      <w:pPr>
        <w:ind w:firstLine="709" w:left="0"/>
        <w:jc w:val="both"/>
        <w:rPr>
          <w:color w:val="000000"/>
        </w:rPr>
      </w:pPr>
      <w:r>
        <w:rPr>
          <w:color w:val="000000"/>
          <w:sz w:val="28"/>
        </w:rPr>
        <w:t>В 2022-2024 годах изменение данного показателя не планируется.</w:t>
      </w:r>
    </w:p>
    <w:p w14:paraId="5D000000">
      <w:pPr>
        <w:ind w:firstLine="709" w:left="0"/>
        <w:jc w:val="both"/>
        <w:rPr>
          <w:b w:val="1"/>
          <w:color w:val="000000"/>
          <w:sz w:val="28"/>
        </w:rPr>
      </w:pPr>
    </w:p>
    <w:p w14:paraId="5E000000">
      <w:pPr>
        <w:ind w:firstLine="709" w:left="0"/>
        <w:jc w:val="center"/>
        <w:rPr>
          <w:color w:val="000000"/>
        </w:rPr>
      </w:pPr>
      <w:r>
        <w:rPr>
          <w:b w:val="1"/>
          <w:color w:val="000000"/>
          <w:sz w:val="28"/>
        </w:rPr>
        <w:t>III. Общее и дополнительное образование</w:t>
      </w:r>
    </w:p>
    <w:p w14:paraId="5F000000">
      <w:pPr>
        <w:ind w:firstLine="709" w:left="0"/>
        <w:jc w:val="both"/>
        <w:rPr>
          <w:color w:val="000000"/>
          <w:sz w:val="28"/>
        </w:rPr>
      </w:pPr>
    </w:p>
    <w:p w14:paraId="60000000">
      <w:pPr>
        <w:ind w:firstLine="709" w:left="0"/>
        <w:jc w:val="both"/>
        <w:rPr>
          <w:color w:val="000000"/>
        </w:rPr>
      </w:pPr>
      <w:r>
        <w:rPr>
          <w:b w:val="1"/>
          <w:color w:val="000000"/>
          <w:sz w:val="28"/>
        </w:rPr>
        <w:t>Показатель 13. 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учреждений.</w:t>
      </w:r>
    </w:p>
    <w:p w14:paraId="61000000">
      <w:pPr>
        <w:ind/>
        <w:jc w:val="both"/>
        <w:rPr>
          <w:b w:val="1"/>
          <w:color w:val="000000"/>
          <w:sz w:val="28"/>
        </w:rPr>
      </w:pPr>
    </w:p>
    <w:p w14:paraId="62000000">
      <w:pPr>
        <w:ind w:firstLine="709" w:left="0"/>
        <w:jc w:val="both"/>
        <w:rPr>
          <w:color w:val="000000"/>
        </w:rPr>
      </w:pPr>
      <w:r>
        <w:rPr>
          <w:color w:val="000000"/>
          <w:sz w:val="28"/>
        </w:rPr>
        <w:t xml:space="preserve">В 2019-2021 годах доля выпускников общеобразовательных учреждений района, не получивших аттестат о среднем (полном) образовании, составляет 0,00%. Все выпускники общеобразовательных учреждений района прошли государственную итоговую аттестацию и получили документы об образовании. </w:t>
      </w:r>
    </w:p>
    <w:p w14:paraId="63000000">
      <w:pPr>
        <w:ind w:firstLine="709" w:left="0"/>
        <w:jc w:val="both"/>
        <w:rPr>
          <w:color w:val="000000"/>
        </w:rPr>
      </w:pPr>
      <w:r>
        <w:rPr>
          <w:color w:val="000000"/>
          <w:sz w:val="28"/>
        </w:rPr>
        <w:t>В 2022-2024 годах изменение данного показателя не планируется.</w:t>
      </w:r>
    </w:p>
    <w:p w14:paraId="64000000">
      <w:pPr>
        <w:ind w:firstLine="709" w:left="0"/>
        <w:jc w:val="both"/>
        <w:rPr>
          <w:color w:val="000000"/>
          <w:sz w:val="28"/>
        </w:rPr>
      </w:pPr>
    </w:p>
    <w:p w14:paraId="65000000">
      <w:pPr>
        <w:ind w:firstLine="708" w:left="0"/>
        <w:jc w:val="both"/>
        <w:rPr>
          <w:color w:val="000000"/>
        </w:rPr>
      </w:pPr>
      <w:r>
        <w:rPr>
          <w:b w:val="1"/>
          <w:color w:val="000000"/>
          <w:sz w:val="28"/>
        </w:rPr>
        <w:t>Показатель 14. 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учреждений.</w:t>
      </w:r>
    </w:p>
    <w:p w14:paraId="66000000">
      <w:pPr>
        <w:ind/>
        <w:jc w:val="both"/>
        <w:rPr>
          <w:b w:val="1"/>
          <w:color w:val="000000"/>
          <w:sz w:val="28"/>
        </w:rPr>
      </w:pPr>
    </w:p>
    <w:p w14:paraId="67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Доля муниципальных общеобразовательных учреждений, соответствующих современным требованиям обучения в 2019 году - 88,64%, в 2020 году </w:t>
      </w:r>
      <w:r>
        <w:rPr>
          <w:color w:val="000000"/>
          <w:sz w:val="28"/>
        </w:rPr>
        <w:t>–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89,36</w:t>
      </w:r>
      <w:r>
        <w:rPr>
          <w:color w:val="000000"/>
          <w:sz w:val="28"/>
        </w:rPr>
        <w:t xml:space="preserve">%, в 2021 году – </w:t>
      </w:r>
      <w:r>
        <w:rPr>
          <w:color w:val="000000"/>
          <w:sz w:val="28"/>
        </w:rPr>
        <w:t>90,34</w:t>
      </w:r>
      <w:r>
        <w:rPr>
          <w:color w:val="000000"/>
          <w:sz w:val="28"/>
        </w:rPr>
        <w:t>%.</w:t>
      </w:r>
      <w:r>
        <w:rPr>
          <w:color w:val="000000"/>
          <w:sz w:val="28"/>
        </w:rPr>
        <w:t xml:space="preserve"> </w:t>
      </w:r>
    </w:p>
    <w:p w14:paraId="68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</w:t>
      </w:r>
      <w:r>
        <w:rPr>
          <w:color w:val="000000"/>
          <w:sz w:val="28"/>
        </w:rPr>
        <w:t xml:space="preserve">2021 году увеличен показатель до </w:t>
      </w:r>
      <w:r>
        <w:rPr>
          <w:color w:val="000000"/>
          <w:sz w:val="28"/>
        </w:rPr>
        <w:t>90,34</w:t>
      </w:r>
      <w:r>
        <w:rPr>
          <w:color w:val="000000"/>
          <w:sz w:val="28"/>
        </w:rPr>
        <w:t>% в связи с завершением капитального ремонта МБОУ Краснополянской СОШ №32.</w:t>
      </w:r>
    </w:p>
    <w:p w14:paraId="69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2022-2024 годах планируется </w:t>
      </w:r>
      <w:r>
        <w:rPr>
          <w:color w:val="000000"/>
          <w:sz w:val="28"/>
        </w:rPr>
        <w:t>увеличение</w:t>
      </w:r>
      <w:r>
        <w:rPr>
          <w:color w:val="000000"/>
          <w:sz w:val="28"/>
        </w:rPr>
        <w:t xml:space="preserve"> данного</w:t>
      </w:r>
      <w:r>
        <w:rPr>
          <w:color w:val="000000"/>
          <w:sz w:val="28"/>
        </w:rPr>
        <w:t xml:space="preserve"> показателя </w:t>
      </w:r>
      <w:r>
        <w:rPr>
          <w:color w:val="000000"/>
          <w:sz w:val="28"/>
        </w:rPr>
        <w:t>до</w:t>
      </w:r>
      <w:r>
        <w:rPr>
          <w:color w:val="000000"/>
          <w:sz w:val="28"/>
        </w:rPr>
        <w:t xml:space="preserve"> 100%, в</w:t>
      </w:r>
    </w:p>
    <w:p w14:paraId="6A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связи с тем, что все общеобразовательные учреждения соответствуют современным</w:t>
      </w:r>
    </w:p>
    <w:p w14:paraId="6B000000">
      <w:pPr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требованиям обучения.</w:t>
      </w:r>
    </w:p>
    <w:p w14:paraId="6C000000">
      <w:pPr>
        <w:ind w:firstLine="709" w:left="0"/>
        <w:jc w:val="both"/>
        <w:rPr>
          <w:color w:val="000000"/>
        </w:rPr>
      </w:pPr>
      <w:r>
        <w:rPr>
          <w:b w:val="1"/>
          <w:color w:val="000000"/>
          <w:sz w:val="28"/>
        </w:rPr>
        <w:t xml:space="preserve"> </w:t>
      </w:r>
      <w:r>
        <w:rPr>
          <w:b w:val="1"/>
          <w:color w:val="000000"/>
          <w:sz w:val="28"/>
        </w:rPr>
        <w:t>Показатель 15. 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учреждений.</w:t>
      </w:r>
    </w:p>
    <w:p w14:paraId="6D000000">
      <w:pPr>
        <w:ind/>
        <w:jc w:val="both"/>
        <w:rPr>
          <w:b w:val="1"/>
          <w:color w:val="000000"/>
          <w:sz w:val="28"/>
        </w:rPr>
      </w:pPr>
    </w:p>
    <w:p w14:paraId="6E000000">
      <w:pPr>
        <w:ind w:firstLine="708" w:left="0"/>
        <w:jc w:val="both"/>
      </w:pPr>
      <w:r>
        <w:rPr>
          <w:sz w:val="28"/>
        </w:rPr>
        <w:t>В 2019 году показатель составил 18,18%.</w:t>
      </w:r>
    </w:p>
    <w:p w14:paraId="6F000000">
      <w:pPr>
        <w:ind w:firstLine="708" w:left="0"/>
        <w:jc w:val="both"/>
        <w:rPr>
          <w:sz w:val="28"/>
        </w:rPr>
      </w:pPr>
      <w:r>
        <w:rPr>
          <w:sz w:val="28"/>
        </w:rPr>
        <w:t>В 2020 году начат капитальный ремонт МБОУ Краснополянской СОШ №32 показатель составил 18,18%.</w:t>
      </w:r>
    </w:p>
    <w:p w14:paraId="70000000">
      <w:pPr>
        <w:ind w:firstLine="708" w:left="0"/>
        <w:jc w:val="both"/>
      </w:pPr>
      <w:r>
        <w:rPr>
          <w:sz w:val="28"/>
        </w:rPr>
        <w:t xml:space="preserve">В 2021 в виду завершения капитального ремонта МБОУ Краснополянской СОШ №32 данный показатель уменьшится до уровня </w:t>
      </w:r>
      <w:r>
        <w:rPr>
          <w:sz w:val="28"/>
        </w:rPr>
        <w:t>6,67</w:t>
      </w:r>
      <w:r>
        <w:rPr>
          <w:sz w:val="28"/>
        </w:rPr>
        <w:t>%.</w:t>
      </w:r>
    </w:p>
    <w:p w14:paraId="71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На период 2022-2024 годов планируется сохранение данного показателя на</w:t>
      </w:r>
    </w:p>
    <w:p w14:paraId="72000000">
      <w:pPr>
        <w:ind/>
        <w:jc w:val="both"/>
        <w:rPr>
          <w:color w:val="000000"/>
          <w:sz w:val="28"/>
        </w:rPr>
      </w:pPr>
      <w:r>
        <w:rPr>
          <w:sz w:val="28"/>
        </w:rPr>
        <w:t>уровне 0%, в связи с тем, что здания находящиеся в аварийном состоянии или</w:t>
      </w:r>
      <w:r>
        <w:rPr>
          <w:sz w:val="28"/>
        </w:rPr>
        <w:t xml:space="preserve"> </w:t>
      </w:r>
      <w:r>
        <w:rPr>
          <w:sz w:val="28"/>
        </w:rPr>
        <w:t>требующие капитального ремонта в общеобразовательных учреждениях</w:t>
      </w:r>
      <w:r>
        <w:rPr>
          <w:sz w:val="28"/>
        </w:rPr>
        <w:t xml:space="preserve"> </w:t>
      </w:r>
      <w:r>
        <w:rPr>
          <w:sz w:val="28"/>
        </w:rPr>
        <w:t>отсутствуют.</w:t>
      </w:r>
    </w:p>
    <w:p w14:paraId="73000000">
      <w:pPr>
        <w:ind w:firstLine="709" w:left="0"/>
        <w:jc w:val="both"/>
        <w:rPr>
          <w:color w:val="000000"/>
        </w:rPr>
      </w:pPr>
      <w:r>
        <w:rPr>
          <w:b w:val="1"/>
          <w:color w:val="000000"/>
          <w:sz w:val="28"/>
        </w:rPr>
        <w:t>Показатель 16. Доля детей первой и второй групп здоровья в общей численности, обучающихся в муниципальных общеобразовательных учреждениях.</w:t>
      </w:r>
    </w:p>
    <w:p w14:paraId="74000000">
      <w:pPr>
        <w:ind/>
        <w:jc w:val="both"/>
        <w:rPr>
          <w:color w:val="000000"/>
          <w:sz w:val="28"/>
        </w:rPr>
      </w:pPr>
    </w:p>
    <w:p w14:paraId="75000000">
      <w:pPr>
        <w:ind w:firstLine="708" w:left="0"/>
        <w:jc w:val="both"/>
        <w:rPr>
          <w:color w:val="000000"/>
        </w:rPr>
      </w:pPr>
      <w:r>
        <w:rPr>
          <w:color w:val="000000"/>
          <w:sz w:val="28"/>
        </w:rPr>
        <w:t>Доля детей первой и второй групп здоровья в 2019 году- 89,71 %, в 2</w:t>
      </w:r>
      <w:r>
        <w:rPr>
          <w:color w:val="000000"/>
          <w:sz w:val="28"/>
        </w:rPr>
        <w:t>020 году-87,1</w:t>
      </w:r>
      <w:r>
        <w:rPr>
          <w:color w:val="000000"/>
          <w:sz w:val="28"/>
        </w:rPr>
        <w:t>%, в 2021 году – 91</w:t>
      </w:r>
      <w:r>
        <w:rPr>
          <w:color w:val="000000"/>
          <w:sz w:val="28"/>
        </w:rPr>
        <w:t>%.</w:t>
      </w:r>
    </w:p>
    <w:p w14:paraId="76000000">
      <w:pPr>
        <w:ind w:firstLine="708" w:left="0"/>
        <w:jc w:val="both"/>
        <w:rPr>
          <w:color w:val="000000"/>
        </w:rPr>
      </w:pPr>
      <w:r>
        <w:rPr>
          <w:color w:val="000000"/>
          <w:sz w:val="28"/>
        </w:rPr>
        <w:t xml:space="preserve">Увеличение показателя в 2021 году обусловлено ранним выявлением заболеваний у детей школьного возраста в период проведения медицинских осмотров, диагностик с использованием аппаратно-программного комплекса «АРМИС». </w:t>
      </w:r>
    </w:p>
    <w:p w14:paraId="77000000">
      <w:pPr>
        <w:ind w:firstLine="708" w:left="0"/>
        <w:jc w:val="both"/>
        <w:rPr>
          <w:color w:val="000000"/>
        </w:rPr>
      </w:pPr>
      <w:r>
        <w:rPr>
          <w:color w:val="000000"/>
          <w:sz w:val="28"/>
        </w:rPr>
        <w:t xml:space="preserve">С целью увеличения значения данного показателя в каждом общеобразовательном учреждении разработаны и действуют «Программы здоровья». Учащиеся вторых классов из 7 общеобразовательных учреждений района в количестве 190 человек  участвовали в областном проекте «Всеобуч по плаванию». Количество обучающихся, охваченных сбалансированным питанием, составило 96,0%. </w:t>
      </w:r>
    </w:p>
    <w:p w14:paraId="78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В 2021 году 4 школы продолжают участие в проекте по здоровьесбережению с использованием аппаратно-программного комплекса «АРМИС» (МБОУ Песчанокопская СОШ №2, МБОУ Развиленская СОШ №9, МБОУ Краснополянская СОШ №32, МБОУ Летницкая СОШ №16 им. Н.В.Переверзевой). В 2 школах (МБОУ Песчанокопская СОШ №1 им. Г.В.Алисова, МБОУ Жуковская СОШ №22) пришли в неисправное состояние аппаратно-программные комплексы «АРМИС». В 2021 году готовятся документы на списание данного оборудования.</w:t>
      </w:r>
    </w:p>
    <w:p w14:paraId="79000000">
      <w:pPr>
        <w:ind w:firstLine="709" w:left="0"/>
        <w:jc w:val="both"/>
        <w:rPr>
          <w:color w:val="000000"/>
        </w:rPr>
      </w:pPr>
      <w:r>
        <w:rPr>
          <w:color w:val="000000"/>
          <w:sz w:val="28"/>
        </w:rPr>
        <w:t>Продолжается реализация дополнительных программ «Здоровье», «Здоровое питание в образовательных учреждениях», «Профилактика вредных привычек». В 2021 году образовательные учреждения продолжили участие в видиолекториях по здоровьесбережению, действующий на базе поликлиники г.Ростова-на-Дону №1. В связи с этим планируется сохранение количество обучающихся, охваченных сбалансированным питанием в 2022-2024 годах на уровне не ниже 90,0%.</w:t>
      </w:r>
    </w:p>
    <w:p w14:paraId="7A000000">
      <w:pPr>
        <w:ind w:firstLine="709" w:left="0"/>
        <w:jc w:val="both"/>
        <w:rPr>
          <w:color w:val="000000"/>
        </w:rPr>
      </w:pPr>
      <w:r>
        <w:rPr>
          <w:color w:val="000000"/>
          <w:sz w:val="28"/>
        </w:rPr>
        <w:t xml:space="preserve"> </w:t>
      </w:r>
    </w:p>
    <w:p w14:paraId="7B000000">
      <w:pPr>
        <w:ind w:firstLine="709" w:left="0"/>
        <w:jc w:val="both"/>
        <w:rPr>
          <w:color w:val="000000"/>
        </w:rPr>
      </w:pPr>
      <w:r>
        <w:rPr>
          <w:b w:val="1"/>
          <w:color w:val="000000"/>
          <w:sz w:val="28"/>
        </w:rPr>
        <w:t>Показатель 17. Доля обучающихся в муниципальных общеобразовательных учреждениях, занимающихся во вторую (третью) смену, в общей численности, обучающихся в муниципальных общеобразовательных учреждениях.</w:t>
      </w:r>
    </w:p>
    <w:p w14:paraId="7C000000">
      <w:pPr>
        <w:ind w:firstLine="709" w:left="0"/>
        <w:jc w:val="both"/>
        <w:rPr>
          <w:color w:val="000000"/>
          <w:sz w:val="28"/>
        </w:rPr>
      </w:pPr>
    </w:p>
    <w:p w14:paraId="7D000000">
      <w:pPr>
        <w:ind w:firstLine="709" w:left="0"/>
        <w:jc w:val="both"/>
        <w:rPr>
          <w:color w:val="000000"/>
        </w:rPr>
      </w:pPr>
      <w:r>
        <w:rPr>
          <w:color w:val="000000"/>
          <w:sz w:val="28"/>
        </w:rPr>
        <w:t xml:space="preserve">В 2019 году доля обучающихся в муниципальных общеобразовательных учреждениях, занимающихся во вторую (третью) смену, в общей численности, обучающихся в муниципальных общеобразовательных учреждениях составила 14,98%, в 2020 году – </w:t>
      </w:r>
      <w:r>
        <w:rPr>
          <w:sz w:val="28"/>
        </w:rPr>
        <w:t>4,29 в виду капитального ремонта МБОУ КСОШ №32 до 2021</w:t>
      </w:r>
      <w:r>
        <w:rPr>
          <w:sz w:val="28"/>
        </w:rPr>
        <w:t xml:space="preserve"> </w:t>
      </w:r>
      <w:r>
        <w:rPr>
          <w:sz w:val="28"/>
        </w:rPr>
        <w:t xml:space="preserve"> года, 2021 год </w:t>
      </w:r>
      <w:r>
        <w:rPr>
          <w:color w:val="000000"/>
        </w:rPr>
        <w:t>- 0.</w:t>
      </w:r>
    </w:p>
    <w:p w14:paraId="7E000000">
      <w:pPr>
        <w:ind w:firstLine="709" w:left="0"/>
        <w:jc w:val="both"/>
        <w:rPr>
          <w:color w:val="000000"/>
        </w:rPr>
      </w:pPr>
      <w:r>
        <w:rPr>
          <w:color w:val="000000"/>
          <w:sz w:val="28"/>
        </w:rPr>
        <w:t>В 2022-2024 годах значение данного показателя составит 0%.</w:t>
      </w:r>
    </w:p>
    <w:p w14:paraId="7F000000">
      <w:pPr>
        <w:ind w:firstLine="709" w:left="0"/>
        <w:jc w:val="both"/>
        <w:rPr>
          <w:color w:val="000000"/>
        </w:rPr>
      </w:pPr>
    </w:p>
    <w:p w14:paraId="80000000">
      <w:pPr>
        <w:ind w:firstLine="709" w:left="0"/>
        <w:jc w:val="both"/>
        <w:rPr>
          <w:color w:val="000000"/>
        </w:rPr>
      </w:pPr>
      <w:r>
        <w:rPr>
          <w:b w:val="1"/>
          <w:color w:val="000000"/>
          <w:sz w:val="28"/>
        </w:rPr>
        <w:t>Показатель 18. Расходы бюджета муниципального образования на общее образование в расчете на 1 обучающегося в муниципальных общеобразовательных учреждениях.</w:t>
      </w:r>
    </w:p>
    <w:p w14:paraId="81000000">
      <w:pPr>
        <w:ind w:firstLine="709" w:left="0"/>
        <w:jc w:val="both"/>
        <w:rPr>
          <w:b w:val="1"/>
          <w:color w:val="FF0000"/>
          <w:sz w:val="28"/>
        </w:rPr>
      </w:pPr>
    </w:p>
    <w:p w14:paraId="82000000">
      <w:pPr>
        <w:ind w:firstLine="709" w:left="0"/>
        <w:jc w:val="both"/>
      </w:pPr>
      <w:r>
        <w:rPr>
          <w:sz w:val="28"/>
        </w:rPr>
        <w:t>Расходы бюджета муниципального образования на общее образование в расчете на 1 обучающегося в муниципальных общеобразовательных учреждениях Песчанокопского района составили в 2019 году-113,3 т.р., в 2020 году-156,1 т.р., в 2021 году – 123,5т.р.</w:t>
      </w:r>
    </w:p>
    <w:p w14:paraId="83000000">
      <w:pPr>
        <w:ind w:firstLine="709" w:left="0"/>
        <w:jc w:val="both"/>
      </w:pPr>
      <w:r>
        <w:rPr>
          <w:sz w:val="28"/>
        </w:rPr>
        <w:t xml:space="preserve">Увеличение показателей 2020 года обусловлено увеличением запланированного в бюджете объема финансирования в виду проведения капитального ремонта МБОУ Песчанокопской СОШ№1 им. Г. В. Алисова и МБОУ Краснополянской СОШ№32. </w:t>
      </w:r>
    </w:p>
    <w:p w14:paraId="84000000">
      <w:pPr>
        <w:ind w:firstLine="709" w:left="0"/>
        <w:jc w:val="both"/>
        <w:rPr>
          <w:sz w:val="28"/>
        </w:rPr>
      </w:pPr>
      <w:r>
        <w:rPr>
          <w:sz w:val="28"/>
        </w:rPr>
        <w:t>З</w:t>
      </w:r>
      <w:r>
        <w:rPr>
          <w:sz w:val="28"/>
        </w:rPr>
        <w:t>начение данного показателя в 2021 году  -  123,5 т.р., что связано с  имеющимся   объемом финансирования в виду проведения капитального ремонта МБОУ Краснополянской СОШ №32. В 2022-2024 годах  значение  данного показателя планируется на уровне 103,1т.р.</w:t>
      </w:r>
    </w:p>
    <w:p w14:paraId="85000000">
      <w:pPr>
        <w:ind w:firstLine="709" w:left="0"/>
        <w:jc w:val="both"/>
        <w:rPr>
          <w:color w:val="000000"/>
          <w:sz w:val="28"/>
        </w:rPr>
      </w:pPr>
    </w:p>
    <w:p w14:paraId="86000000">
      <w:pPr>
        <w:ind w:firstLine="709" w:left="0"/>
        <w:jc w:val="both"/>
        <w:rPr>
          <w:color w:val="000000"/>
        </w:rPr>
      </w:pPr>
      <w:r>
        <w:rPr>
          <w:b w:val="1"/>
          <w:color w:val="000000"/>
          <w:sz w:val="28"/>
        </w:rPr>
        <w:t>Показатель 19. 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</w:r>
    </w:p>
    <w:p w14:paraId="87000000">
      <w:pPr>
        <w:ind w:firstLine="709" w:left="0"/>
        <w:jc w:val="both"/>
        <w:rPr>
          <w:color w:val="000000"/>
          <w:sz w:val="28"/>
        </w:rPr>
      </w:pPr>
    </w:p>
    <w:p w14:paraId="88000000">
      <w:pPr>
        <w:spacing w:line="100" w:lineRule="atLeast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 в 2019 году значение данного показателя составило 94%, в 2</w:t>
      </w:r>
      <w:r>
        <w:rPr>
          <w:color w:val="000000"/>
          <w:sz w:val="28"/>
        </w:rPr>
        <w:t>020 году - 99</w:t>
      </w:r>
      <w:r>
        <w:rPr>
          <w:color w:val="000000"/>
          <w:sz w:val="28"/>
        </w:rPr>
        <w:t>%, в 2021 году – 91</w:t>
      </w:r>
      <w:r>
        <w:rPr>
          <w:color w:val="000000"/>
          <w:sz w:val="28"/>
        </w:rPr>
        <w:t>%.</w:t>
      </w:r>
    </w:p>
    <w:p w14:paraId="89000000">
      <w:pPr>
        <w:spacing w:line="100" w:lineRule="atLeast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Данный показатель уменьшен в связи с персонификацией учета обучающихся, получающих услуги по дополнительному образованию</w:t>
      </w:r>
      <w:r>
        <w:rPr>
          <w:color w:val="000000"/>
          <w:sz w:val="28"/>
        </w:rPr>
        <w:t>.</w:t>
      </w:r>
    </w:p>
    <w:p w14:paraId="8A000000">
      <w:pPr>
        <w:spacing w:line="100" w:lineRule="atLeast"/>
        <w:ind w:firstLine="709" w:left="0"/>
        <w:jc w:val="both"/>
        <w:rPr>
          <w:color w:val="000000"/>
        </w:rPr>
      </w:pPr>
      <w:r>
        <w:rPr>
          <w:color w:val="000000"/>
          <w:sz w:val="28"/>
        </w:rPr>
        <w:t>В 2022 -2024  годах планируется сохранит</w:t>
      </w:r>
      <w:r>
        <w:rPr>
          <w:color w:val="000000"/>
          <w:sz w:val="28"/>
        </w:rPr>
        <w:t>ь значение показателя не ниже 91</w:t>
      </w:r>
      <w:r>
        <w:rPr>
          <w:color w:val="000000"/>
          <w:sz w:val="28"/>
        </w:rPr>
        <w:t>%.</w:t>
      </w:r>
    </w:p>
    <w:p w14:paraId="8B000000">
      <w:pPr>
        <w:spacing w:line="100" w:lineRule="atLeast"/>
        <w:ind w:firstLine="709" w:left="0"/>
        <w:jc w:val="both"/>
        <w:rPr>
          <w:sz w:val="28"/>
        </w:rPr>
      </w:pPr>
    </w:p>
    <w:p w14:paraId="8C000000">
      <w:pPr>
        <w:spacing w:line="100" w:lineRule="atLeast"/>
        <w:ind w:firstLine="690" w:left="0"/>
        <w:jc w:val="center"/>
      </w:pPr>
      <w:r>
        <w:rPr>
          <w:b w:val="1"/>
          <w:sz w:val="28"/>
        </w:rPr>
        <w:t>IV</w:t>
      </w:r>
      <w:r>
        <w:rPr>
          <w:b w:val="1"/>
          <w:sz w:val="28"/>
        </w:rPr>
        <w:t>. Культура</w:t>
      </w:r>
    </w:p>
    <w:p w14:paraId="8D000000">
      <w:pPr>
        <w:spacing w:line="100" w:lineRule="atLeast"/>
        <w:ind/>
        <w:jc w:val="both"/>
        <w:rPr>
          <w:color w:val="000000"/>
        </w:rPr>
      </w:pPr>
    </w:p>
    <w:p w14:paraId="8E000000">
      <w:pPr>
        <w:ind w:firstLine="692" w:left="0"/>
        <w:jc w:val="both"/>
      </w:pPr>
      <w:r>
        <w:rPr>
          <w:b w:val="1"/>
          <w:sz w:val="28"/>
        </w:rPr>
        <w:t>Показатель 20. Уровень фактической обеспеченности учреждениями культуры от нормативной потребности.</w:t>
      </w:r>
    </w:p>
    <w:p w14:paraId="8F000000">
      <w:pPr>
        <w:ind w:firstLine="692" w:left="0"/>
        <w:jc w:val="both"/>
        <w:rPr>
          <w:sz w:val="28"/>
        </w:rPr>
      </w:pPr>
    </w:p>
    <w:p w14:paraId="90000000">
      <w:pPr>
        <w:ind w:firstLine="709" w:left="0" w:right="-15"/>
        <w:jc w:val="both"/>
        <w:rPr>
          <w:color w:val="000000"/>
          <w:sz w:val="28"/>
        </w:rPr>
      </w:pPr>
      <w:r>
        <w:rPr>
          <w:color w:val="000000"/>
          <w:sz w:val="28"/>
        </w:rPr>
        <w:t>В 2019-2021 годах уровень фактической обеспеченности учреждениями культуры от нормативной потребности клубами и учреждениями клубного типа: 20</w:t>
      </w:r>
      <w:r>
        <w:rPr>
          <w:color w:val="000000"/>
          <w:sz w:val="28"/>
        </w:rPr>
        <w:t>19 – 100%, 2020 – 100%, 2021 – 10</w:t>
      </w:r>
      <w:r>
        <w:rPr>
          <w:color w:val="000000"/>
          <w:sz w:val="28"/>
        </w:rPr>
        <w:t>0 %. В 2021 году данный показатель снизился, в связи с тем, что здание дома культуры Рассыпненского сельского поселения было признано аварийным и в настоящее не функционирует.</w:t>
      </w:r>
    </w:p>
    <w:p w14:paraId="91000000">
      <w:pPr>
        <w:ind w:firstLine="709" w:left="0" w:right="-15"/>
        <w:jc w:val="both"/>
        <w:rPr>
          <w:color w:val="000000"/>
        </w:rPr>
      </w:pPr>
      <w:r>
        <w:rPr>
          <w:color w:val="000000"/>
          <w:sz w:val="28"/>
        </w:rPr>
        <w:t xml:space="preserve"> В прогнозном периоде 2022-2024 годов ожидается, что данный показатель останется на прежнем уровне. 202</w:t>
      </w:r>
      <w:r>
        <w:rPr>
          <w:color w:val="000000"/>
          <w:sz w:val="28"/>
        </w:rPr>
        <w:t>2 – 10</w:t>
      </w:r>
      <w:r>
        <w:rPr>
          <w:color w:val="000000"/>
          <w:sz w:val="28"/>
        </w:rPr>
        <w:t>0%, 2023 – 100%, 2024 – 100%</w:t>
      </w:r>
      <w:r>
        <w:rPr>
          <w:color w:val="000000"/>
        </w:rPr>
        <w:t>.</w:t>
      </w:r>
    </w:p>
    <w:p w14:paraId="92000000">
      <w:pPr>
        <w:ind w:firstLine="709" w:left="0" w:right="-15"/>
        <w:jc w:val="both"/>
        <w:rPr>
          <w:color w:val="000000"/>
          <w:sz w:val="28"/>
        </w:rPr>
      </w:pPr>
      <w:r>
        <w:rPr>
          <w:color w:val="000000"/>
          <w:sz w:val="28"/>
        </w:rPr>
        <w:t>В 2021 году показатель обеспече</w:t>
      </w:r>
      <w:r>
        <w:rPr>
          <w:color w:val="000000"/>
          <w:sz w:val="28"/>
        </w:rPr>
        <w:t>нности библиотеками составил 92</w:t>
      </w:r>
      <w:r>
        <w:rPr>
          <w:color w:val="000000"/>
          <w:sz w:val="28"/>
        </w:rPr>
        <w:t xml:space="preserve">%, так как со вступлением в силу областного закона «О внесении изменений в Областной закон «О местном самоуправлении в Ростовской области»  организация библиотечного обслуживания населения, комплектование и обеспечение сохранности библиотечных фондов библиотек сельских поселений  исключено из их компетенций и отнесено к полномочиям муниципального района. </w:t>
      </w:r>
    </w:p>
    <w:p w14:paraId="93000000">
      <w:pPr>
        <w:ind w:firstLine="692" w:left="0"/>
        <w:jc w:val="both"/>
        <w:rPr>
          <w:sz w:val="28"/>
        </w:rPr>
      </w:pPr>
      <w:r>
        <w:rPr>
          <w:sz w:val="28"/>
        </w:rPr>
        <w:t>С целью охвата хуторов Песчанокопского района внестационарным библиотечным обслуживанием в 2020 году для МБУК Песчанокопского района «Межпоселенческой центральной библиотеки» был приобретен современный комплекс информационно – библиотечного обслуживания (КИБО). Таким образом, всем жителям Песчанокопского района обеспечен доступ к данной услуге.</w:t>
      </w:r>
    </w:p>
    <w:p w14:paraId="94000000">
      <w:pPr>
        <w:ind w:firstLine="692" w:left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Согласно распоряжению Министерства культуры РФ от 29 апреля 2016 г. N Р-547 «О Методических рекомендациях субъектам РФ и органам местного самоуправления по развитию сети организаций культуры и обеспеченности населения услугами организаций культуры» органы местного самоуправления, в целях реализации полномочий по созданию условий для массового отдыха жителей поселения и организации обустройства мест массового отдыха населения создают парки культуры и отдыха. Парк культуры - это объект ландшафтной архитектуры, структура которого предусматривает рекреационную зону, зону аттракционов и зону сервиса. За сетевую единицу принимаются парки культуры и отдыха всех форм собственности.  Для муниципального района согласно нормативов для 100% обеспеченности необходимо размещение 1 парка культуры и отдыха в административном центре сельского поселения. В Административном центре с. Песчанокопское Песчанокопского района имеется одно учреждение культуры  МБУК Песчанокопского сельского поселения «Парк культуры и отдыха», что соответствует нормативной потребности.</w:t>
      </w:r>
    </w:p>
    <w:p w14:paraId="95000000">
      <w:pPr>
        <w:ind w:firstLine="692" w:left="0"/>
        <w:jc w:val="both"/>
      </w:pPr>
      <w:r>
        <w:rPr>
          <w:b w:val="1"/>
          <w:sz w:val="28"/>
        </w:rPr>
        <w:t>Показатель 21.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культуры.</w:t>
      </w:r>
    </w:p>
    <w:p w14:paraId="96000000">
      <w:pPr>
        <w:ind w:firstLine="692" w:left="0"/>
        <w:jc w:val="both"/>
      </w:pPr>
    </w:p>
    <w:p w14:paraId="97000000">
      <w:pPr>
        <w:ind w:firstLine="709" w:left="0"/>
        <w:jc w:val="both"/>
        <w:rPr>
          <w:color w:val="000000"/>
        </w:rPr>
      </w:pPr>
      <w:r>
        <w:rPr>
          <w:color w:val="000000"/>
          <w:sz w:val="28"/>
        </w:rPr>
        <w:t xml:space="preserve"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 в 2019 году – 20 %.  </w:t>
      </w:r>
    </w:p>
    <w:p w14:paraId="98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2020 году данный показатель изменился и составил 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 xml:space="preserve">0 %, в связи с ведением в эксплуатацию МБУК «ДК Жуковского сельского поселения» после капитального ремонта. В 2021 году данный показатель </w:t>
      </w:r>
      <w:r>
        <w:rPr>
          <w:color w:val="000000"/>
          <w:sz w:val="28"/>
        </w:rPr>
        <w:t xml:space="preserve">вырос на 10% </w:t>
      </w:r>
      <w:r>
        <w:rPr>
          <w:color w:val="000000"/>
          <w:sz w:val="28"/>
        </w:rPr>
        <w:t xml:space="preserve"> и </w:t>
      </w:r>
      <w:r>
        <w:rPr>
          <w:color w:val="000000"/>
          <w:sz w:val="28"/>
        </w:rPr>
        <w:t>составил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3</w:t>
      </w:r>
      <w:r>
        <w:rPr>
          <w:color w:val="000000"/>
          <w:sz w:val="28"/>
        </w:rPr>
        <w:t>0%, в связи с аварийным состоянием дома культуры в Рассыпненском сельском поселении.</w:t>
      </w:r>
    </w:p>
    <w:p w14:paraId="99000000">
      <w:pPr>
        <w:ind w:firstLine="709" w:left="0"/>
        <w:jc w:val="both"/>
        <w:rPr>
          <w:color w:val="000000"/>
        </w:rPr>
      </w:pPr>
      <w:r>
        <w:rPr>
          <w:color w:val="000000"/>
          <w:sz w:val="28"/>
        </w:rPr>
        <w:t xml:space="preserve">В 2022-2024  годах </w:t>
      </w:r>
      <w:r>
        <w:rPr>
          <w:color w:val="000000"/>
          <w:sz w:val="28"/>
        </w:rPr>
        <w:t>значение</w:t>
      </w:r>
      <w:r>
        <w:rPr>
          <w:color w:val="000000"/>
          <w:sz w:val="28"/>
        </w:rPr>
        <w:t xml:space="preserve"> данного показателя планируется снизить за счет приобретения здания модульного дома культуры в Рассыпненском сельском поселении. </w:t>
      </w:r>
    </w:p>
    <w:p w14:paraId="9A000000">
      <w:pPr>
        <w:ind w:firstLine="851" w:left="0"/>
        <w:jc w:val="both"/>
        <w:rPr>
          <w:sz w:val="28"/>
        </w:rPr>
      </w:pPr>
    </w:p>
    <w:p w14:paraId="9B000000">
      <w:pPr>
        <w:ind w:firstLine="692" w:left="0"/>
        <w:jc w:val="both"/>
      </w:pPr>
      <w:r>
        <w:rPr>
          <w:b w:val="1"/>
          <w:sz w:val="28"/>
        </w:rPr>
        <w:t>Показатель 22. 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собственности.</w:t>
      </w:r>
    </w:p>
    <w:p w14:paraId="9C000000">
      <w:pPr>
        <w:ind w:firstLine="692" w:left="0"/>
        <w:jc w:val="both"/>
        <w:rPr>
          <w:b w:val="1"/>
          <w:sz w:val="28"/>
        </w:rPr>
      </w:pPr>
    </w:p>
    <w:p w14:paraId="9D000000">
      <w:pPr>
        <w:ind w:firstLine="705" w:left="0"/>
        <w:jc w:val="both"/>
        <w:rPr>
          <w:sz w:val="28"/>
        </w:rPr>
      </w:pPr>
      <w:r>
        <w:rPr>
          <w:sz w:val="28"/>
        </w:rPr>
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 составляет 0,00%, так как на территории Песчанокопского района отсутствуют объекты культурного наследия, требующие консервации или реставрации.</w:t>
      </w:r>
    </w:p>
    <w:p w14:paraId="9E000000">
      <w:pPr>
        <w:ind w:firstLine="705" w:left="0"/>
        <w:jc w:val="both"/>
        <w:rPr>
          <w:sz w:val="28"/>
        </w:rPr>
      </w:pPr>
    </w:p>
    <w:p w14:paraId="9F000000">
      <w:pPr>
        <w:ind w:firstLine="692" w:left="0"/>
        <w:jc w:val="center"/>
        <w:rPr>
          <w:rFonts w:ascii="Calibri" w:hAnsi="Calibri"/>
          <w:sz w:val="22"/>
        </w:rPr>
      </w:pPr>
      <w:r>
        <w:rPr>
          <w:b w:val="1"/>
          <w:sz w:val="28"/>
        </w:rPr>
        <w:t>V. Физическая культура и спорт</w:t>
      </w:r>
    </w:p>
    <w:p w14:paraId="A0000000">
      <w:pPr>
        <w:ind w:firstLine="692" w:left="0"/>
        <w:jc w:val="center"/>
        <w:rPr>
          <w:b w:val="1"/>
          <w:sz w:val="28"/>
        </w:rPr>
      </w:pPr>
    </w:p>
    <w:p w14:paraId="A1000000">
      <w:pPr>
        <w:ind w:firstLine="692" w:left="0"/>
        <w:jc w:val="both"/>
      </w:pPr>
      <w:r>
        <w:rPr>
          <w:b w:val="1"/>
          <w:sz w:val="28"/>
        </w:rPr>
        <w:t>Показатель 23.</w:t>
      </w:r>
      <w:r>
        <w:rPr>
          <w:sz w:val="28"/>
        </w:rPr>
        <w:t xml:space="preserve"> </w:t>
      </w:r>
      <w:r>
        <w:rPr>
          <w:b w:val="1"/>
          <w:sz w:val="28"/>
        </w:rPr>
        <w:t>Доля населения, систематически занимающегося физической культурой и спортом.</w:t>
      </w:r>
    </w:p>
    <w:p w14:paraId="A2000000">
      <w:pPr>
        <w:ind w:firstLine="692" w:left="0"/>
        <w:jc w:val="both"/>
      </w:pPr>
    </w:p>
    <w:p w14:paraId="A3000000">
      <w:pPr>
        <w:ind w:firstLine="692" w:left="0"/>
        <w:jc w:val="both"/>
        <w:rPr>
          <w:color w:val="000000"/>
        </w:rPr>
      </w:pPr>
      <w:r>
        <w:rPr>
          <w:color w:val="000000"/>
          <w:sz w:val="28"/>
        </w:rPr>
        <w:t xml:space="preserve">Доля населения, систематически занимающегося физической культурой и спортом в Песчанокопском районе составила в 2019 году – 48,1%, в 2020 году – </w:t>
      </w:r>
      <w:r>
        <w:rPr>
          <w:color w:val="000000"/>
          <w:sz w:val="28"/>
        </w:rPr>
        <w:t>48,5</w:t>
      </w:r>
      <w:r>
        <w:rPr>
          <w:color w:val="000000"/>
          <w:sz w:val="28"/>
        </w:rPr>
        <w:t>%, в 2021 году -</w:t>
      </w:r>
      <w:r>
        <w:rPr>
          <w:color w:val="000000"/>
          <w:sz w:val="28"/>
        </w:rPr>
        <w:t>50,3</w:t>
      </w:r>
      <w:r>
        <w:rPr>
          <w:color w:val="000000"/>
          <w:sz w:val="28"/>
        </w:rPr>
        <w:t>%.</w:t>
      </w:r>
    </w:p>
    <w:p w14:paraId="A4000000">
      <w:pPr>
        <w:ind w:firstLine="840" w:left="0"/>
        <w:jc w:val="both"/>
        <w:rPr>
          <w:color w:val="000000"/>
        </w:rPr>
      </w:pPr>
      <w:r>
        <w:rPr>
          <w:color w:val="000000"/>
          <w:sz w:val="28"/>
        </w:rPr>
        <w:t>В 2021 году данный показатель увеличился до 50,3%. По сравнению с прошлым годом, так как возросло количество занимающихся физической культурой и спортом в организациях и предприятиях, в том числе в связи с улучшением материально – технической базы (введение в эксплуатацию спортивных площадок в Жуковском и Рассыпненском сельских поселениях), активной реализацией ВФСК ГТО и увеличением количества проводимых физкультурно – спортивных мероприятий по средствам активной пропаганды через СМИ, социальные сети среди всех групп населения пропаганды  к систематическим занятиям физической культурой и спортом.</w:t>
      </w:r>
    </w:p>
    <w:p w14:paraId="A5000000">
      <w:pPr>
        <w:ind w:firstLine="692" w:left="0"/>
        <w:jc w:val="both"/>
        <w:rPr>
          <w:color w:val="000000"/>
        </w:rPr>
      </w:pPr>
      <w:r>
        <w:rPr>
          <w:color w:val="000000"/>
          <w:sz w:val="28"/>
        </w:rPr>
        <w:t>В прогнозный период 2022-2024 годы планируется увеличение занимающихся до 59,7 % за счет введение в эксплуатацию стадиона им. «И.П. Чайка», повышения квалификации тренеров - преподавателей дополнительного образования Детско-юношеской спортивной школы и Центра внешкольной работы, учителей физкультуры и лиц, занимающихся внеурочной внеклассной деятельностью, а также участия детских и взрослых сборных команд в первенствах Ростовской области по различным видам спорта, увеличения внутрисельских спортивных мероприятий, активизации работы существующих федераций.</w:t>
      </w:r>
    </w:p>
    <w:p w14:paraId="A6000000">
      <w:pPr>
        <w:ind w:firstLine="692" w:left="0"/>
        <w:jc w:val="both"/>
        <w:rPr>
          <w:color w:val="000000"/>
        </w:rPr>
      </w:pPr>
    </w:p>
    <w:p w14:paraId="A7000000">
      <w:pPr>
        <w:ind w:firstLine="692" w:left="0"/>
        <w:jc w:val="both"/>
        <w:rPr>
          <w:color w:val="000000"/>
          <w:sz w:val="28"/>
        </w:rPr>
      </w:pPr>
    </w:p>
    <w:p w14:paraId="A8000000">
      <w:pPr>
        <w:ind w:firstLine="692" w:left="0"/>
        <w:jc w:val="both"/>
        <w:rPr>
          <w:color w:val="000000"/>
        </w:rPr>
      </w:pPr>
      <w:r>
        <w:rPr>
          <w:b w:val="1"/>
          <w:color w:val="000000"/>
          <w:sz w:val="28"/>
        </w:rPr>
        <w:t>Показатель 23.1 Доля обучающихся, систематически занимающихся физической культурой и спортом, в общей численности обучающихся</w:t>
      </w:r>
    </w:p>
    <w:p w14:paraId="A9000000">
      <w:pPr>
        <w:ind w:firstLine="692" w:left="0"/>
        <w:jc w:val="both"/>
        <w:rPr>
          <w:color w:val="000000"/>
          <w:sz w:val="28"/>
        </w:rPr>
      </w:pPr>
    </w:p>
    <w:p w14:paraId="AA000000">
      <w:pPr>
        <w:ind w:firstLine="692" w:left="0"/>
        <w:jc w:val="both"/>
        <w:rPr>
          <w:color w:val="000000"/>
        </w:rPr>
      </w:pPr>
      <w:r>
        <w:rPr>
          <w:color w:val="000000"/>
          <w:sz w:val="28"/>
        </w:rPr>
        <w:t xml:space="preserve">Доля обучающихся, систематически занимающихся физической культурой и спортом, в общей численности обучающихся в 2019 </w:t>
      </w:r>
      <w:r>
        <w:rPr>
          <w:color w:val="000000"/>
          <w:sz w:val="28"/>
        </w:rPr>
        <w:t xml:space="preserve">году – 96,3%, в 2020 году – 95,2 </w:t>
      </w:r>
      <w:r>
        <w:rPr>
          <w:color w:val="000000"/>
          <w:sz w:val="28"/>
        </w:rPr>
        <w:t>%, в 2021 году – 93,7%.</w:t>
      </w:r>
      <w:r>
        <w:rPr>
          <w:color w:val="000000"/>
          <w:sz w:val="28"/>
        </w:rPr>
        <w:t xml:space="preserve"> Этот показатель снизился на 1,5</w:t>
      </w:r>
      <w:r>
        <w:rPr>
          <w:color w:val="000000"/>
          <w:sz w:val="28"/>
        </w:rPr>
        <w:t xml:space="preserve"> % в связи с уменьшением количества запланированных мероприятий в условиях распространения новой коронавирусной инфекцией COVID – 19. </w:t>
      </w:r>
    </w:p>
    <w:p w14:paraId="AB000000">
      <w:pPr>
        <w:ind w:firstLine="692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В прогнозном периоде 2022 – 2024 годах планируется удержать достигнутый показатель за счет популяризации ВФСК ГТО, реализации проектов «Всеобуч по шахматам» и «Всеобуч по плаванию», увеличения количества проводимых мероприятий среди обучающихся образовательных организаций.</w:t>
      </w:r>
    </w:p>
    <w:p w14:paraId="AC000000">
      <w:pPr>
        <w:ind w:firstLine="692" w:left="0"/>
        <w:jc w:val="both"/>
        <w:rPr>
          <w:color w:val="000000"/>
        </w:rPr>
      </w:pPr>
    </w:p>
    <w:p w14:paraId="AD000000">
      <w:pPr>
        <w:ind w:firstLine="692" w:left="0"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VI. Жилищное строительство и обеспечение граждан жильем</w:t>
      </w:r>
    </w:p>
    <w:p w14:paraId="AE000000">
      <w:pPr>
        <w:ind w:firstLine="692" w:left="0"/>
        <w:jc w:val="both"/>
        <w:rPr>
          <w:b w:val="1"/>
          <w:color w:val="000000"/>
          <w:sz w:val="28"/>
        </w:rPr>
      </w:pPr>
    </w:p>
    <w:p w14:paraId="AF000000">
      <w:pPr>
        <w:pStyle w:val="Style_3"/>
        <w:ind w:firstLine="692" w:left="0"/>
        <w:jc w:val="both"/>
        <w:rPr>
          <w:b w:val="1"/>
          <w:sz w:val="28"/>
        </w:rPr>
      </w:pPr>
      <w:r>
        <w:rPr>
          <w:b w:val="1"/>
          <w:sz w:val="28"/>
        </w:rPr>
        <w:t>Показатель 24. Общая площадь жилых помещений, приходящихся в среднем на одного жителя.</w:t>
      </w:r>
    </w:p>
    <w:p w14:paraId="B0000000">
      <w:pPr>
        <w:pStyle w:val="Style_3"/>
        <w:ind w:firstLine="692" w:left="0"/>
        <w:jc w:val="both"/>
        <w:rPr>
          <w:sz w:val="28"/>
        </w:rPr>
      </w:pPr>
      <w:r>
        <w:rPr>
          <w:sz w:val="28"/>
        </w:rPr>
        <w:t xml:space="preserve">Общая площадь жилых помещений, приходящаяся в среднем на одного жителя, составила в 2019 году – 36,43 кв.м., в 2020 году – 37,23 кв.м., в 2021 году – 38,21 кв.м. Показатель за 2021 год увеличился на 0,98 кв.м. за счет уменьшения постоянной численности населения и увеличения общей площади жилых помещений на территории района. </w:t>
      </w:r>
    </w:p>
    <w:p w14:paraId="B1000000">
      <w:pPr>
        <w:pStyle w:val="Style_3"/>
        <w:ind w:firstLine="692" w:left="0"/>
        <w:jc w:val="both"/>
        <w:rPr>
          <w:sz w:val="28"/>
        </w:rPr>
      </w:pPr>
      <w:r>
        <w:rPr>
          <w:sz w:val="28"/>
        </w:rPr>
        <w:t xml:space="preserve">С учетом уменьшения численности населения и ежегодного прироста общей площади жилых помещений, прогнозный план на 2022-2024 годы по данному показателю планируется оставить на уровне 2021 года – 38,21 кв.м. </w:t>
      </w:r>
    </w:p>
    <w:p w14:paraId="B2000000">
      <w:pPr>
        <w:pStyle w:val="Style_3"/>
        <w:ind w:firstLine="692" w:left="0"/>
        <w:jc w:val="both"/>
        <w:rPr>
          <w:sz w:val="28"/>
        </w:rPr>
      </w:pPr>
      <w:r>
        <w:rPr>
          <w:sz w:val="28"/>
        </w:rPr>
        <w:t>Введенная в действие общая площадь жилых помещений за один год в расчете на одного человека составила в 2019 году – 0,24 кв.м., в 2020 году – 0,17 кв.м., в 2021 году – 0,16 кв.м.  Снижение данного показателя произошло в связи с уменьшением объема введенного жилья за год.</w:t>
      </w:r>
    </w:p>
    <w:p w14:paraId="B3000000">
      <w:pPr>
        <w:pStyle w:val="Style_3"/>
        <w:ind w:firstLine="692" w:left="0"/>
        <w:jc w:val="both"/>
        <w:rPr>
          <w:b w:val="1"/>
          <w:sz w:val="28"/>
        </w:rPr>
      </w:pPr>
      <w:r>
        <w:rPr>
          <w:sz w:val="28"/>
        </w:rPr>
        <w:t>С учетом уменьшения объема ввода жилья в 2021 году, прогнозный план на 2022-2024 годы по указанному показателю планируется оставить на уровне 2021 года, то есть - 0,16 кв.м.</w:t>
      </w:r>
      <w:r>
        <w:rPr>
          <w:b w:val="1"/>
          <w:sz w:val="28"/>
        </w:rPr>
        <w:t xml:space="preserve">  </w:t>
      </w:r>
    </w:p>
    <w:p w14:paraId="B4000000">
      <w:pPr>
        <w:pStyle w:val="Style_3"/>
        <w:ind w:firstLine="692" w:left="0"/>
        <w:jc w:val="both"/>
        <w:rPr>
          <w:b w:val="1"/>
          <w:sz w:val="28"/>
        </w:rPr>
      </w:pPr>
      <w:r>
        <w:rPr>
          <w:b w:val="1"/>
          <w:sz w:val="28"/>
        </w:rPr>
        <w:t>Показатель 25. Площадь земельных участков, предоставленных для строительства в расчете на 10 тыс. человек населения, 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строительства.</w:t>
      </w:r>
    </w:p>
    <w:p w14:paraId="B5000000">
      <w:pPr>
        <w:pStyle w:val="Style_3"/>
        <w:ind w:firstLine="692" w:left="0"/>
        <w:jc w:val="both"/>
        <w:rPr>
          <w:sz w:val="28"/>
        </w:rPr>
      </w:pPr>
    </w:p>
    <w:p w14:paraId="B6000000">
      <w:pPr>
        <w:pStyle w:val="Style_3"/>
        <w:ind w:firstLine="692" w:left="0"/>
        <w:jc w:val="both"/>
        <w:rPr>
          <w:sz w:val="28"/>
        </w:rPr>
      </w:pPr>
      <w:r>
        <w:rPr>
          <w:sz w:val="28"/>
        </w:rPr>
        <w:t>На территории муниципального района за 2021 год предоставлено всего земельных участков под строительство 1,16 га (в расчете на 10 тыс. человек населения – 0,45 га), в том числе для индивидуального жилищного строительства 0,19 га (в расчете на 10 тыс. человек населения – 0,07 га).</w:t>
      </w:r>
    </w:p>
    <w:p w14:paraId="B7000000">
      <w:pPr>
        <w:pStyle w:val="Style_3"/>
        <w:spacing w:after="0" w:before="0"/>
        <w:ind w:firstLine="692" w:left="0"/>
        <w:jc w:val="both"/>
        <w:rPr>
          <w:sz w:val="28"/>
        </w:rPr>
      </w:pPr>
      <w:r>
        <w:rPr>
          <w:sz w:val="28"/>
        </w:rPr>
        <w:t>Прогнозный план на 2022-2024 годы по указанным показателям планируется оставить на уровне 2021 года.</w:t>
      </w:r>
    </w:p>
    <w:p w14:paraId="B8000000">
      <w:pPr>
        <w:pStyle w:val="Style_3"/>
        <w:spacing w:after="0" w:before="0"/>
        <w:ind w:firstLine="692" w:left="0"/>
        <w:jc w:val="both"/>
        <w:rPr>
          <w:sz w:val="28"/>
        </w:rPr>
      </w:pPr>
    </w:p>
    <w:p w14:paraId="B9000000">
      <w:pPr>
        <w:tabs>
          <w:tab w:leader="none" w:pos="708" w:val="left"/>
          <w:tab w:leader="none" w:pos="4536" w:val="center"/>
          <w:tab w:leader="none" w:pos="9072" w:val="right"/>
        </w:tabs>
        <w:ind w:firstLine="709" w:left="0"/>
        <w:jc w:val="both"/>
        <w:rPr>
          <w:color w:val="000000"/>
        </w:rPr>
      </w:pPr>
      <w:r>
        <w:rPr>
          <w:b w:val="1"/>
          <w:color w:val="000000"/>
          <w:sz w:val="28"/>
        </w:rPr>
        <w:t>Показатель 26. 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</w:t>
      </w:r>
      <w:r>
        <w:rPr>
          <w:color w:val="000000"/>
          <w:sz w:val="28"/>
        </w:rPr>
        <w:t>.</w:t>
      </w:r>
    </w:p>
    <w:p w14:paraId="BA000000">
      <w:pPr>
        <w:tabs>
          <w:tab w:leader="none" w:pos="708" w:val="left"/>
          <w:tab w:leader="none" w:pos="4536" w:val="center"/>
          <w:tab w:leader="none" w:pos="9072" w:val="right"/>
        </w:tabs>
        <w:ind/>
        <w:jc w:val="both"/>
        <w:rPr>
          <w:color w:val="000000"/>
        </w:rPr>
      </w:pPr>
    </w:p>
    <w:p w14:paraId="BB000000">
      <w:pPr>
        <w:ind w:firstLine="690" w:left="0"/>
        <w:jc w:val="both"/>
        <w:rPr>
          <w:color w:val="000000"/>
        </w:rPr>
      </w:pPr>
      <w:r>
        <w:rPr>
          <w:color w:val="000000"/>
          <w:sz w:val="28"/>
        </w:rPr>
        <w:t xml:space="preserve">При расчете показателя учитываются земельные участки, по которым выдано разрешение на строительство и срок введения объекта, по которому истек. По состоянию на 31.12.2021 г. такие земельные участки на территории Песчанокопского района отсутствуют. </w:t>
      </w:r>
    </w:p>
    <w:p w14:paraId="BC000000">
      <w:pPr>
        <w:widowControl w:val="0"/>
        <w:ind w:firstLine="690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В 2022-2024 годах изменение данного показателя не планируется.</w:t>
      </w:r>
    </w:p>
    <w:p w14:paraId="BD000000">
      <w:pPr>
        <w:pStyle w:val="Style_3"/>
        <w:spacing w:after="0" w:before="0"/>
        <w:ind w:firstLine="692" w:left="0"/>
        <w:jc w:val="both"/>
        <w:rPr>
          <w:sz w:val="28"/>
        </w:rPr>
      </w:pPr>
    </w:p>
    <w:p w14:paraId="BE000000">
      <w:pPr>
        <w:tabs>
          <w:tab w:leader="none" w:pos="708" w:val="left"/>
          <w:tab w:leader="none" w:pos="4536" w:val="center"/>
          <w:tab w:leader="none" w:pos="9072" w:val="right"/>
        </w:tabs>
        <w:ind w:firstLine="690" w:left="0"/>
        <w:jc w:val="center"/>
        <w:rPr>
          <w:color w:val="000000"/>
        </w:rPr>
      </w:pPr>
      <w:r>
        <w:rPr>
          <w:b w:val="1"/>
          <w:color w:val="000000"/>
          <w:sz w:val="28"/>
        </w:rPr>
        <w:t>VII. Жилищно-коммунальное хозяйство</w:t>
      </w:r>
    </w:p>
    <w:p w14:paraId="BF000000">
      <w:pPr>
        <w:tabs>
          <w:tab w:leader="none" w:pos="708" w:val="left"/>
          <w:tab w:leader="none" w:pos="4536" w:val="center"/>
          <w:tab w:leader="none" w:pos="9072" w:val="right"/>
        </w:tabs>
        <w:ind w:firstLine="690" w:left="0"/>
        <w:jc w:val="center"/>
        <w:rPr>
          <w:color w:val="000000"/>
          <w:sz w:val="28"/>
        </w:rPr>
      </w:pPr>
    </w:p>
    <w:p w14:paraId="C0000000">
      <w:pPr>
        <w:tabs>
          <w:tab w:leader="none" w:pos="1440" w:val="left"/>
        </w:tabs>
        <w:ind w:firstLine="709" w:left="0"/>
        <w:jc w:val="both"/>
        <w:rPr>
          <w:color w:val="000000"/>
        </w:rPr>
      </w:pPr>
      <w:r>
        <w:rPr>
          <w:b w:val="1"/>
          <w:color w:val="000000"/>
          <w:sz w:val="28"/>
        </w:rPr>
        <w:t>Показатель 27. Доля многоквартирных домов, в которых собственники помещений выбрали и реализуют один из способов управления многоквартирными домами.</w:t>
      </w:r>
    </w:p>
    <w:p w14:paraId="C1000000">
      <w:pPr>
        <w:tabs>
          <w:tab w:leader="none" w:pos="1440" w:val="left"/>
        </w:tabs>
        <w:ind/>
        <w:jc w:val="both"/>
        <w:rPr>
          <w:b w:val="1"/>
          <w:color w:val="000000"/>
          <w:sz w:val="28"/>
        </w:rPr>
      </w:pPr>
    </w:p>
    <w:p w14:paraId="C2000000">
      <w:pPr>
        <w:ind w:firstLine="709" w:left="0"/>
        <w:jc w:val="both"/>
        <w:rPr>
          <w:color w:val="000000"/>
        </w:rPr>
      </w:pPr>
      <w:r>
        <w:rPr>
          <w:color w:val="000000"/>
          <w:sz w:val="28"/>
        </w:rPr>
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 составила в 2019 году – 100,00 %, в 2020 году – 100,00 %, в 2021 году – 100,00 %.</w:t>
      </w:r>
    </w:p>
    <w:p w14:paraId="C3000000">
      <w:pPr>
        <w:ind w:firstLine="709" w:left="0"/>
        <w:jc w:val="both"/>
        <w:rPr>
          <w:color w:val="000000"/>
        </w:rPr>
      </w:pPr>
      <w:r>
        <w:rPr>
          <w:color w:val="000000"/>
          <w:sz w:val="28"/>
        </w:rPr>
        <w:t>Доля многоквартирных жилых домов, в которых собственники помещений выбрали и реализуют один из способов управления многоквартирными домами отражает фактические показатели по итогам 2021 года и составляет 100 %. В соответствии с Жилищным кодексом РФ собственники, проживающие в многоквартирных домах обязаны определиться со способом управления. На территории Песчанокопского района по всем, без исключения, многоквартирным домам способ управления выбран и реализуется.</w:t>
      </w:r>
    </w:p>
    <w:p w14:paraId="C4000000">
      <w:pPr>
        <w:ind w:firstLine="709" w:left="0"/>
        <w:jc w:val="both"/>
        <w:rPr>
          <w:color w:val="000000"/>
        </w:rPr>
      </w:pPr>
      <w:r>
        <w:rPr>
          <w:color w:val="000000"/>
          <w:sz w:val="28"/>
        </w:rPr>
        <w:t xml:space="preserve">Прогнозируемые показатели на 2022-2024 годы учитывают выбор способа управления по 100 % многоквартирных жилых домов Песчанокопского района. </w:t>
      </w:r>
    </w:p>
    <w:p w14:paraId="C5000000">
      <w:pPr>
        <w:ind w:firstLine="709" w:left="0"/>
        <w:jc w:val="both"/>
        <w:rPr>
          <w:b w:val="1"/>
          <w:color w:val="000000"/>
          <w:sz w:val="28"/>
        </w:rPr>
      </w:pPr>
    </w:p>
    <w:p w14:paraId="C6000000">
      <w:pPr>
        <w:tabs>
          <w:tab w:leader="none" w:pos="1440" w:val="left"/>
        </w:tabs>
        <w:ind w:firstLine="709" w:left="0"/>
        <w:jc w:val="both"/>
        <w:rPr>
          <w:b w:val="1"/>
          <w:color w:val="000000"/>
          <w:sz w:val="30"/>
        </w:rPr>
      </w:pPr>
      <w:r>
        <w:rPr>
          <w:b w:val="1"/>
          <w:color w:val="000000"/>
          <w:sz w:val="28"/>
        </w:rPr>
        <w:t>Показатель 28. 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</w:t>
      </w:r>
      <w:r>
        <w:rPr>
          <w:color w:val="000000"/>
          <w:sz w:val="28"/>
        </w:rPr>
        <w:t>.</w:t>
      </w:r>
    </w:p>
    <w:p w14:paraId="C7000000">
      <w:pPr>
        <w:tabs>
          <w:tab w:leader="none" w:pos="1440" w:val="left"/>
        </w:tabs>
        <w:ind w:firstLine="709" w:left="0"/>
        <w:jc w:val="both"/>
        <w:rPr>
          <w:b w:val="1"/>
          <w:color w:val="000000"/>
          <w:sz w:val="28"/>
        </w:rPr>
      </w:pPr>
    </w:p>
    <w:p w14:paraId="C8000000">
      <w:pPr>
        <w:ind w:firstLine="709" w:left="0"/>
        <w:jc w:val="both"/>
        <w:rPr>
          <w:color w:val="000000"/>
        </w:rPr>
      </w:pPr>
      <w:r>
        <w:rPr>
          <w:color w:val="000000"/>
          <w:sz w:val="28"/>
        </w:rPr>
        <w:t xml:space="preserve">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 составила в 2019 году – 25,00 %, в 2020 году – 25,00 %, в 2021 году – </w:t>
      </w:r>
      <w:r>
        <w:rPr>
          <w:color w:val="000000"/>
          <w:sz w:val="28"/>
        </w:rPr>
        <w:t>25</w:t>
      </w:r>
      <w:r>
        <w:rPr>
          <w:color w:val="000000"/>
          <w:sz w:val="28"/>
        </w:rPr>
        <w:t>,00 %.</w:t>
      </w:r>
    </w:p>
    <w:p w14:paraId="C9000000">
      <w:pPr>
        <w:ind w:firstLine="709" w:left="0"/>
        <w:jc w:val="both"/>
        <w:rPr>
          <w:color w:val="000000"/>
        </w:rPr>
      </w:pPr>
      <w:r>
        <w:rPr>
          <w:color w:val="000000"/>
          <w:sz w:val="28"/>
        </w:rPr>
        <w:t xml:space="preserve">На территории Песчанокопского района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всего 4 единицы, из них </w:t>
      </w:r>
      <w:r>
        <w:rPr>
          <w:color w:val="000000"/>
          <w:sz w:val="28"/>
        </w:rPr>
        <w:t>1 организация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(ПАО «Донэнерго»), в которых участие субъекта РФ и (или)</w:t>
      </w:r>
      <w:r>
        <w:rPr>
          <w:color w:val="000000"/>
          <w:sz w:val="28"/>
        </w:rPr>
        <w:t xml:space="preserve"> городского округа (муниципального района) в уставном капитале составляет не более 25 %. </w:t>
      </w:r>
    </w:p>
    <w:p w14:paraId="CA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Увеличение прогнозных показателей 2022 – 2024 годах не планируется.</w:t>
      </w:r>
    </w:p>
    <w:p w14:paraId="CB000000">
      <w:pPr>
        <w:ind w:firstLine="709" w:left="0"/>
        <w:jc w:val="both"/>
        <w:rPr>
          <w:color w:val="000000"/>
        </w:rPr>
      </w:pPr>
    </w:p>
    <w:p w14:paraId="CC000000">
      <w:pPr>
        <w:ind w:firstLine="709" w:left="0"/>
        <w:jc w:val="both"/>
      </w:pPr>
      <w:r>
        <w:rPr>
          <w:b w:val="1"/>
          <w:sz w:val="28"/>
        </w:rPr>
        <w:t>Показатель 29. Доля многоквартирных домов, расположенных на земельных участках, в отношении которых осуществлен государственный кадастровый учет.</w:t>
      </w:r>
    </w:p>
    <w:p w14:paraId="CD000000">
      <w:pPr>
        <w:ind/>
        <w:jc w:val="both"/>
        <w:rPr>
          <w:b w:val="1"/>
          <w:sz w:val="28"/>
        </w:rPr>
      </w:pPr>
    </w:p>
    <w:p w14:paraId="CE000000">
      <w:pPr>
        <w:ind w:firstLine="709" w:left="0"/>
        <w:jc w:val="both"/>
        <w:rPr>
          <w:color w:val="000000"/>
        </w:rPr>
      </w:pPr>
      <w:r>
        <w:rPr>
          <w:color w:val="000000"/>
          <w:sz w:val="28"/>
        </w:rPr>
        <w:t>Доля многоквартирных домов, расположенных на земельных участках, в отношении которых осуществлен государственный кадастровый учет составила в 2019 году – 100,00 %, в 2020 году – 100,00 %, в 2021 году – 100,00 %.</w:t>
      </w:r>
    </w:p>
    <w:p w14:paraId="CF000000">
      <w:pPr>
        <w:ind w:firstLine="709" w:left="0"/>
        <w:jc w:val="both"/>
        <w:rPr>
          <w:color w:val="000000"/>
        </w:rPr>
      </w:pPr>
      <w:r>
        <w:rPr>
          <w:color w:val="000000"/>
          <w:sz w:val="28"/>
        </w:rPr>
        <w:t>В Песчанокопском районе работа по постановке земельных участков на государственный кадастровый учет под многоквартирными жилыми домами завершена в 2010 году. В настоящее время 100% земельных участков поставлены на государственный кадастровый учет. Прогнозируемые значения показателя не изменятся.</w:t>
      </w:r>
    </w:p>
    <w:p w14:paraId="D0000000">
      <w:pPr>
        <w:spacing w:after="160" w:line="252" w:lineRule="auto"/>
        <w:ind/>
        <w:jc w:val="both"/>
        <w:rPr>
          <w:b w:val="1"/>
          <w:sz w:val="28"/>
        </w:rPr>
      </w:pPr>
      <w:r>
        <w:rPr>
          <w:b w:val="1"/>
          <w:sz w:val="28"/>
        </w:rPr>
        <w:t>Показатель 30. 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помещениях.</w:t>
      </w:r>
    </w:p>
    <w:p w14:paraId="D1000000">
      <w:pPr>
        <w:spacing w:after="160" w:line="252" w:lineRule="auto"/>
        <w:ind/>
        <w:jc w:val="both"/>
        <w:rPr>
          <w:sz w:val="28"/>
        </w:rPr>
      </w:pPr>
      <w:r>
        <w:rPr>
          <w:sz w:val="28"/>
        </w:rPr>
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 составила в 2019 – 25 %, в 2020 году - 34%, в 2021 году – 8,6%.</w:t>
      </w:r>
    </w:p>
    <w:p w14:paraId="D2000000">
      <w:pPr>
        <w:spacing w:after="160" w:line="252" w:lineRule="auto"/>
        <w:ind/>
        <w:jc w:val="both"/>
        <w:rPr>
          <w:sz w:val="28"/>
        </w:rPr>
      </w:pPr>
      <w:r>
        <w:rPr>
          <w:sz w:val="28"/>
        </w:rPr>
        <w:t xml:space="preserve">Уменьшение показателя в 2021 году по отношению к 2020 году связано с выделением по действующим программам из федерального и областного бюджетов средств меньше по сравнению с 2020 годом (общая сумма выделенных средств по программам в 2019 – 27 443 164 тыс. руб.; в 2020 году – 13 208 980 тыс. руб.; в 2021 году – 3 608 547 тыс. руб.) </w:t>
      </w:r>
    </w:p>
    <w:p w14:paraId="D3000000">
      <w:pPr>
        <w:spacing w:after="160" w:line="252" w:lineRule="auto"/>
        <w:ind/>
        <w:jc w:val="both"/>
        <w:rPr>
          <w:sz w:val="28"/>
        </w:rPr>
      </w:pPr>
      <w:r>
        <w:rPr>
          <w:sz w:val="28"/>
        </w:rPr>
        <w:t xml:space="preserve">В 2022 – 2024 годах планируется изменение данного показателя до 9,8 %, в связи с увеличением выделения средств из федерального и областного бюджетов. </w:t>
      </w:r>
    </w:p>
    <w:p w14:paraId="D4000000">
      <w:pPr>
        <w:ind w:firstLine="692" w:left="0"/>
        <w:jc w:val="both"/>
        <w:rPr>
          <w:sz w:val="28"/>
        </w:rPr>
      </w:pPr>
    </w:p>
    <w:p w14:paraId="D5000000">
      <w:pPr>
        <w:pStyle w:val="Style_4"/>
        <w:tabs>
          <w:tab w:leader="none" w:pos="4536" w:val="clear"/>
          <w:tab w:leader="none" w:pos="9072" w:val="clear"/>
        </w:tabs>
        <w:ind w:firstLine="690" w:left="0"/>
        <w:jc w:val="center"/>
      </w:pPr>
      <w:r>
        <w:rPr>
          <w:b w:val="1"/>
          <w:sz w:val="28"/>
        </w:rPr>
        <w:t>VIII</w:t>
      </w:r>
      <w:r>
        <w:rPr>
          <w:b w:val="1"/>
          <w:sz w:val="28"/>
        </w:rPr>
        <w:t>. Организация муниципального управления</w:t>
      </w:r>
    </w:p>
    <w:p w14:paraId="D6000000">
      <w:pPr>
        <w:pStyle w:val="Style_4"/>
        <w:tabs>
          <w:tab w:leader="none" w:pos="4536" w:val="clear"/>
          <w:tab w:leader="none" w:pos="9072" w:val="clear"/>
        </w:tabs>
        <w:ind w:firstLine="690" w:left="0"/>
        <w:jc w:val="center"/>
        <w:rPr>
          <w:sz w:val="28"/>
        </w:rPr>
      </w:pPr>
    </w:p>
    <w:p w14:paraId="D7000000">
      <w:pPr>
        <w:tabs>
          <w:tab w:leader="none" w:pos="708" w:val="left"/>
          <w:tab w:leader="none" w:pos="4536" w:val="center"/>
          <w:tab w:leader="none" w:pos="9072" w:val="right"/>
        </w:tabs>
        <w:ind w:firstLine="709" w:left="0"/>
        <w:jc w:val="both"/>
        <w:rPr>
          <w:color w:val="000000"/>
        </w:rPr>
      </w:pPr>
      <w:r>
        <w:rPr>
          <w:b w:val="1"/>
          <w:color w:val="000000"/>
          <w:sz w:val="28"/>
        </w:rPr>
        <w:t>Показатель 31. 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субвенций).</w:t>
      </w:r>
    </w:p>
    <w:p w14:paraId="D8000000">
      <w:pPr>
        <w:tabs>
          <w:tab w:leader="none" w:pos="708" w:val="left"/>
          <w:tab w:leader="none" w:pos="4536" w:val="center"/>
          <w:tab w:leader="none" w:pos="9072" w:val="right"/>
        </w:tabs>
        <w:ind/>
        <w:jc w:val="both"/>
        <w:rPr>
          <w:b w:val="1"/>
          <w:color w:val="000000"/>
          <w:sz w:val="28"/>
          <w:highlight w:val="white"/>
        </w:rPr>
      </w:pPr>
    </w:p>
    <w:p w14:paraId="D9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 составила в  2019 году – 25,30%, , в 2020 году – 21,98%, в 2021 году – 25,51%, в 2022 году-37,49%, в 2023 году-38,54%, в 2024 году-43,77%.</w:t>
      </w:r>
    </w:p>
    <w:p w14:paraId="DA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Уменьшение доли налоговых и неналоговых доходов в 2020 году по сравнению с 2019 годом связано с уменьшением норматива отчислений по НДФЛ с 46,8% до 45,4%.</w:t>
      </w:r>
    </w:p>
    <w:p w14:paraId="DB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Увеличение доли налоговых и неналоговых доходов в 2021 году по сравнению с 2020 годом связано с увеличением  показателя налоговых и неналоговых доходов (за исключением поступлений налоговых доходов по дополнительным нормативам отчислений) на сумму 25017,8 тыс. рублей.</w:t>
      </w:r>
    </w:p>
    <w:p w14:paraId="DC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Увеличение доли налоговых и неналоговых доходов в 2022 году по сравнению с 2021 годом связано с уменьшением показателя собственных доходов на сумму 248591,9 тыс. за счет уменьшения поступлений субсидий из областного бюджета.</w:t>
      </w:r>
    </w:p>
    <w:p w14:paraId="DD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Увеличение доли налоговых и неналоговых доходов в 2023 году по сравнению с 2022 годом связано с увеличением  показателя налоговых и неналоговых доходов (за исключением поступлений налоговых доходов по дополнительным нормативам отчислений) на сумму 2198,4 тыс. рублей и уменьшением показателя собственных доходов на сумму 6024,2 тыс. за счет уменьшения поступлений субсидий из областного бюджета.</w:t>
      </w:r>
    </w:p>
    <w:p w14:paraId="DE000000">
      <w:pPr>
        <w:ind/>
        <w:jc w:val="both"/>
        <w:rPr>
          <w:color w:val="000000"/>
          <w:sz w:val="28"/>
        </w:rPr>
      </w:pPr>
    </w:p>
    <w:p w14:paraId="DF00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Уменьшение доли налоговых и неналоговых доходов в 2024 году по сравнению с 2023 годом связано с увеличением  показателя налоговых и неналоговых (за исключением поступлений налоговых доходов по дополнительным нормативам отчислений) на сумму 5287,7 тыс. рублей и уменьшением показателя собственных доходов на сумму 42501,4 тыс. за счет уменьшения поступлений субсидий из областного бюджета.</w:t>
      </w:r>
    </w:p>
    <w:p w14:paraId="E0000000">
      <w:pPr>
        <w:ind w:firstLine="709" w:left="0"/>
        <w:jc w:val="both"/>
        <w:rPr>
          <w:color w:val="000000"/>
        </w:rPr>
      </w:pPr>
    </w:p>
    <w:p w14:paraId="E1000000">
      <w:pPr>
        <w:ind w:firstLine="709" w:left="0"/>
        <w:jc w:val="both"/>
        <w:rPr>
          <w:color w:val="000000"/>
          <w:sz w:val="28"/>
        </w:rPr>
      </w:pPr>
    </w:p>
    <w:p w14:paraId="E2000000">
      <w:pPr>
        <w:ind w:firstLine="709" w:left="0"/>
        <w:jc w:val="both"/>
      </w:pPr>
      <w:r>
        <w:rPr>
          <w:b w:val="1"/>
          <w:color w:val="000000"/>
          <w:sz w:val="28"/>
        </w:rPr>
        <w:t>Показатель 32. 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стоимости).</w:t>
      </w:r>
    </w:p>
    <w:p w14:paraId="E3000000">
      <w:pPr>
        <w:ind/>
        <w:jc w:val="both"/>
        <w:rPr>
          <w:b w:val="1"/>
          <w:color w:val="000000"/>
          <w:sz w:val="28"/>
        </w:rPr>
      </w:pPr>
    </w:p>
    <w:p w14:paraId="E4000000">
      <w:pPr>
        <w:ind w:firstLine="690" w:left="0"/>
        <w:jc w:val="both"/>
      </w:pPr>
      <w:r>
        <w:rPr>
          <w:color w:val="000000"/>
          <w:sz w:val="28"/>
        </w:rPr>
        <w:t xml:space="preserve">На территории Песчанокопского района организации муниципальной формы собственности, находящиеся в стадии банкротства, отсутствуют. </w:t>
      </w:r>
    </w:p>
    <w:p w14:paraId="E5000000">
      <w:pPr>
        <w:ind w:firstLine="709" w:left="0"/>
        <w:jc w:val="both"/>
      </w:pPr>
      <w:r>
        <w:rPr>
          <w:color w:val="000000"/>
          <w:sz w:val="28"/>
        </w:rPr>
        <w:t>В 2022-2024</w:t>
      </w:r>
      <w:r>
        <w:rPr>
          <w:color w:val="000000"/>
          <w:sz w:val="28"/>
        </w:rPr>
        <w:t xml:space="preserve"> годах изменение данного показателя не планируется.</w:t>
      </w:r>
    </w:p>
    <w:p w14:paraId="E6000000">
      <w:pPr>
        <w:pStyle w:val="Style_4"/>
        <w:tabs>
          <w:tab w:leader="none" w:pos="4536" w:val="clear"/>
          <w:tab w:leader="none" w:pos="9072" w:val="clear"/>
        </w:tabs>
        <w:ind w:firstLine="690" w:left="0"/>
        <w:jc w:val="both"/>
        <w:rPr>
          <w:b w:val="1"/>
          <w:color w:val="000000"/>
          <w:sz w:val="28"/>
        </w:rPr>
      </w:pPr>
    </w:p>
    <w:p w14:paraId="E7000000">
      <w:pPr>
        <w:tabs>
          <w:tab w:leader="none" w:pos="708" w:val="left"/>
          <w:tab w:leader="none" w:pos="4536" w:val="center"/>
          <w:tab w:leader="none" w:pos="9072" w:val="right"/>
        </w:tabs>
        <w:ind w:firstLine="709" w:left="0"/>
        <w:jc w:val="both"/>
        <w:rPr>
          <w:color w:val="000000"/>
        </w:rPr>
      </w:pPr>
      <w:r>
        <w:rPr>
          <w:b w:val="1"/>
          <w:color w:val="000000"/>
          <w:sz w:val="28"/>
        </w:rPr>
        <w:t>Показатель 33. Объем не завершенного в установленные сроки строительства, осуществляемого за счет средств бюджета городского округа (муниципального района).</w:t>
      </w:r>
    </w:p>
    <w:p w14:paraId="E8000000">
      <w:pPr>
        <w:tabs>
          <w:tab w:leader="none" w:pos="708" w:val="left"/>
          <w:tab w:leader="none" w:pos="4536" w:val="center"/>
          <w:tab w:leader="none" w:pos="9072" w:val="right"/>
        </w:tabs>
        <w:ind/>
        <w:jc w:val="both"/>
        <w:rPr>
          <w:b w:val="1"/>
          <w:color w:val="000000"/>
          <w:sz w:val="28"/>
        </w:rPr>
      </w:pPr>
    </w:p>
    <w:p w14:paraId="E9000000">
      <w:pPr>
        <w:ind w:firstLine="690" w:left="0"/>
        <w:jc w:val="both"/>
        <w:rPr>
          <w:color w:val="000000"/>
        </w:rPr>
      </w:pPr>
      <w:r>
        <w:rPr>
          <w:color w:val="000000"/>
          <w:sz w:val="28"/>
        </w:rPr>
        <w:t>В 2019-2021 годах незавершенного в установленные сроки строительства, осуществляемого за счет средств бюджета муниципального района нет.</w:t>
      </w:r>
    </w:p>
    <w:p w14:paraId="EA000000">
      <w:pPr>
        <w:ind w:firstLine="690" w:left="0"/>
        <w:jc w:val="both"/>
        <w:rPr>
          <w:color w:val="000000"/>
        </w:rPr>
      </w:pPr>
      <w:r>
        <w:rPr>
          <w:color w:val="000000"/>
          <w:sz w:val="28"/>
        </w:rPr>
        <w:t>Значение показателя обеспечивается устранением административных барьеров в предоставлении услуг на всех стадиях строительства, а также контролем за графиком выполненных работ.</w:t>
      </w:r>
    </w:p>
    <w:p w14:paraId="EB000000">
      <w:pPr>
        <w:ind w:firstLine="690" w:left="0"/>
        <w:jc w:val="both"/>
        <w:rPr>
          <w:color w:val="000000"/>
        </w:rPr>
      </w:pPr>
      <w:r>
        <w:rPr>
          <w:color w:val="000000"/>
          <w:sz w:val="28"/>
        </w:rPr>
        <w:t>Прогнозируемые значения показателя на период 2022-2024 годов приняты на уровне 2021 года.</w:t>
      </w:r>
    </w:p>
    <w:p w14:paraId="EC000000">
      <w:pPr>
        <w:ind w:firstLine="690" w:left="0"/>
        <w:jc w:val="both"/>
        <w:rPr>
          <w:color w:val="000000"/>
          <w:sz w:val="28"/>
        </w:rPr>
      </w:pPr>
    </w:p>
    <w:p w14:paraId="ED000000">
      <w:pPr>
        <w:ind w:firstLine="709" w:left="0"/>
        <w:jc w:val="both"/>
      </w:pPr>
      <w:r>
        <w:rPr>
          <w:b w:val="1"/>
          <w:color w:val="000000"/>
          <w:sz w:val="28"/>
        </w:rPr>
        <w:t>Показатель 34. 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труда).</w:t>
      </w:r>
    </w:p>
    <w:p w14:paraId="EE000000">
      <w:pPr>
        <w:ind/>
        <w:jc w:val="both"/>
        <w:rPr>
          <w:b w:val="1"/>
          <w:color w:val="000000"/>
          <w:sz w:val="28"/>
        </w:rPr>
      </w:pPr>
    </w:p>
    <w:p w14:paraId="EF000000">
      <w:pPr>
        <w:pStyle w:val="Style_5"/>
        <w:ind w:firstLine="567" w:left="0"/>
        <w:jc w:val="both"/>
      </w:pPr>
      <w:r>
        <w:rPr>
          <w:b w:val="0"/>
          <w:color w:val="000000"/>
        </w:rPr>
        <w:t xml:space="preserve"> </w:t>
      </w:r>
      <w:r>
        <w:rPr>
          <w:b w:val="0"/>
          <w:color w:val="000000"/>
        </w:rPr>
        <w:t>В 2019-2021</w:t>
      </w:r>
      <w:r>
        <w:rPr>
          <w:b w:val="0"/>
          <w:color w:val="000000"/>
        </w:rPr>
        <w:t xml:space="preserve"> годах просроченная кредиторская задолженность по оплате труда по исполнению бюджета Песчанокопского района отсутствовала. </w:t>
      </w:r>
    </w:p>
    <w:p w14:paraId="F0000000">
      <w:pPr>
        <w:ind w:firstLine="690" w:left="0"/>
        <w:jc w:val="both"/>
        <w:rPr>
          <w:b w:val="1"/>
          <w:color w:val="000000"/>
          <w:sz w:val="28"/>
        </w:rPr>
      </w:pPr>
    </w:p>
    <w:p w14:paraId="F1000000">
      <w:pPr>
        <w:tabs>
          <w:tab w:leader="none" w:pos="708" w:val="left"/>
          <w:tab w:leader="none" w:pos="4536" w:val="center"/>
          <w:tab w:leader="none" w:pos="9072" w:val="right"/>
        </w:tabs>
        <w:ind w:firstLine="709" w:left="0"/>
        <w:jc w:val="both"/>
        <w:rPr>
          <w:color w:val="000000"/>
        </w:rPr>
      </w:pPr>
      <w:r>
        <w:rPr>
          <w:b w:val="1"/>
          <w:color w:val="000000"/>
          <w:sz w:val="28"/>
        </w:rPr>
        <w:t>Показатель 35.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образования.</w:t>
      </w:r>
    </w:p>
    <w:p w14:paraId="F2000000">
      <w:pPr>
        <w:tabs>
          <w:tab w:leader="none" w:pos="708" w:val="left"/>
          <w:tab w:leader="none" w:pos="4536" w:val="center"/>
          <w:tab w:leader="none" w:pos="9072" w:val="right"/>
        </w:tabs>
        <w:ind/>
        <w:jc w:val="both"/>
        <w:rPr>
          <w:b w:val="1"/>
          <w:color w:val="000000"/>
          <w:sz w:val="28"/>
        </w:rPr>
      </w:pPr>
    </w:p>
    <w:p w14:paraId="F3000000">
      <w:pPr>
        <w:ind w:firstLine="709" w:left="0"/>
        <w:jc w:val="both"/>
        <w:rPr>
          <w:sz w:val="28"/>
        </w:rPr>
      </w:pPr>
      <w:r>
        <w:rPr>
          <w:color w:val="000000"/>
          <w:sz w:val="28"/>
        </w:rPr>
        <w:t xml:space="preserve"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 составили в  2019 году — 1566,56 рублей, в 2020 году — 1705,32 рублей, </w:t>
      </w:r>
      <w:r>
        <w:rPr>
          <w:sz w:val="28"/>
        </w:rPr>
        <w:t>в 2021 году —1793,97 рублей, в 2022 году —2083,52 рублей, в 2023 году-1905,48 рублей, в 2024 году- 1913,17 рублей.</w:t>
      </w:r>
    </w:p>
    <w:p w14:paraId="F4000000">
      <w:pPr>
        <w:ind w:firstLine="690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Увеличение расходов в 2020 году связано с сокращением численности населения района и увеличением размеров должностных окладов лиц, замещающих муниципальные должности Песчанокопского района, окладов денежного содержания по должностям муниципальной службы Песчанокопского района, должностных окладов технического персонала и ставок заработной платы обслуживающего персонала органов местного самоуправления Песчанокопского района, индексируются с 1 октября 2020 года на 3,0 процента.</w:t>
      </w:r>
    </w:p>
    <w:p w14:paraId="F5000000">
      <w:pPr>
        <w:ind w:firstLine="690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Увеличение расходов в 2021 году связано с сокращением численности населения района и увеличением размеров должностных окладов лиц, замещающих муниципальные должности муниципальной службы Песчанокопского района с 01.10.2021 года.</w:t>
      </w:r>
    </w:p>
    <w:p w14:paraId="F6000000">
      <w:pPr>
        <w:ind w:firstLine="690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Увеличение расходов в 2022 году связано с сокращением численности населения района и увеличением размеров должностных окладов лиц, замещающих муниципальные должности муниципальной службы Песчанокопского района 01.10.2021 года, увеличением надбавок за интенсивность и высокие результаты работы работников, осуществляющих техническое обеспечение деятельности органов местного самоуправления персонала, с 01.01.2022 года.</w:t>
      </w:r>
    </w:p>
    <w:p w14:paraId="F7000000">
      <w:pPr>
        <w:tabs>
          <w:tab w:leader="none" w:pos="708" w:val="left"/>
          <w:tab w:leader="none" w:pos="4536" w:val="center"/>
          <w:tab w:leader="none" w:pos="9072" w:val="right"/>
        </w:tabs>
        <w:ind w:firstLine="690" w:left="0"/>
        <w:jc w:val="both"/>
        <w:rPr>
          <w:color w:val="000000"/>
          <w:sz w:val="28"/>
          <w:highlight w:val="yellow"/>
        </w:rPr>
      </w:pPr>
      <w:r>
        <w:rPr>
          <w:color w:val="000000"/>
          <w:sz w:val="28"/>
          <w:highlight w:val="white"/>
        </w:rPr>
        <w:t>Прогнозные цифры 2022-2024</w:t>
      </w:r>
      <w:r>
        <w:rPr>
          <w:color w:val="000000"/>
          <w:sz w:val="28"/>
          <w:highlight w:val="white"/>
        </w:rPr>
        <w:t xml:space="preserve"> годов установлены в соответствии с бюджетом Песчанокопского района и рассчитаны в соответствии с нормативами затрат.</w:t>
      </w:r>
    </w:p>
    <w:p w14:paraId="F8000000">
      <w:pPr>
        <w:tabs>
          <w:tab w:leader="none" w:pos="708" w:val="left"/>
          <w:tab w:leader="none" w:pos="4536" w:val="center"/>
          <w:tab w:leader="none" w:pos="9072" w:val="right"/>
        </w:tabs>
        <w:ind w:firstLine="709" w:left="0"/>
        <w:jc w:val="both"/>
        <w:rPr>
          <w:color w:val="000000"/>
        </w:rPr>
      </w:pPr>
      <w:r>
        <w:rPr>
          <w:b w:val="1"/>
          <w:color w:val="000000"/>
          <w:sz w:val="28"/>
        </w:rPr>
        <w:t>Показатель 36. 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района).</w:t>
      </w:r>
    </w:p>
    <w:p w14:paraId="F9000000">
      <w:pPr>
        <w:tabs>
          <w:tab w:leader="none" w:pos="708" w:val="left"/>
          <w:tab w:leader="none" w:pos="4536" w:val="center"/>
          <w:tab w:leader="none" w:pos="9072" w:val="right"/>
        </w:tabs>
        <w:ind/>
        <w:jc w:val="both"/>
        <w:rPr>
          <w:b w:val="1"/>
          <w:color w:val="000000"/>
          <w:sz w:val="28"/>
        </w:rPr>
      </w:pPr>
    </w:p>
    <w:p w14:paraId="FA000000">
      <w:pPr>
        <w:tabs>
          <w:tab w:leader="none" w:pos="708" w:val="left"/>
          <w:tab w:leader="none" w:pos="4536" w:val="center"/>
          <w:tab w:leader="none" w:pos="9072" w:val="right"/>
        </w:tabs>
        <w:ind w:firstLine="690" w:left="0"/>
        <w:jc w:val="both"/>
        <w:rPr>
          <w:color w:val="000000"/>
        </w:rPr>
      </w:pPr>
      <w:r>
        <w:rPr>
          <w:color w:val="000000"/>
          <w:sz w:val="28"/>
        </w:rPr>
        <w:t>В Песчанокопском районе имеется Схема территориального планирования Песчанокопского района, утвержденная Решением Собрания депутатов Песчанокопского района от 31.10.2012г. № 154, генеральный план Песчанокопского сельского поселения, разработанный в 2011 году по заказу министерства строительства и утвержденный Решением Собранием депутатов от 03.03.2011г. №72.</w:t>
      </w:r>
    </w:p>
    <w:p w14:paraId="FB000000">
      <w:pPr>
        <w:tabs>
          <w:tab w:leader="none" w:pos="708" w:val="left"/>
          <w:tab w:leader="none" w:pos="4536" w:val="center"/>
          <w:tab w:leader="none" w:pos="9072" w:val="right"/>
        </w:tabs>
        <w:ind w:firstLine="690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Аналогичные документы, в соответствии со ст. 24 Градостроительного кодекса Российской Федерации приняты во всех муниципальных образованиях Песчанокопского района в 2011-2012 годах.</w:t>
      </w:r>
    </w:p>
    <w:p w14:paraId="FC000000">
      <w:pPr>
        <w:tabs>
          <w:tab w:leader="none" w:pos="708" w:val="left"/>
          <w:tab w:leader="none" w:pos="4536" w:val="center"/>
          <w:tab w:leader="none" w:pos="9072" w:val="right"/>
        </w:tabs>
        <w:ind w:firstLine="690" w:left="0"/>
        <w:jc w:val="both"/>
        <w:rPr>
          <w:color w:val="000000"/>
          <w:sz w:val="28"/>
        </w:rPr>
      </w:pPr>
    </w:p>
    <w:p w14:paraId="FD000000">
      <w:pPr>
        <w:ind/>
        <w:jc w:val="center"/>
        <w:rPr>
          <w:b w:val="1"/>
          <w:sz w:val="28"/>
        </w:rPr>
      </w:pPr>
    </w:p>
    <w:p w14:paraId="FE000000">
      <w:pPr>
        <w:pStyle w:val="Style_4"/>
        <w:tabs>
          <w:tab w:leader="none" w:pos="4536" w:val="clear"/>
          <w:tab w:leader="none" w:pos="9072" w:val="clear"/>
        </w:tabs>
        <w:ind w:firstLine="690" w:left="0"/>
        <w:jc w:val="both"/>
        <w:rPr>
          <w:b w:val="1"/>
          <w:sz w:val="28"/>
        </w:rPr>
      </w:pPr>
    </w:p>
    <w:p w14:paraId="FF000000">
      <w:pPr>
        <w:pStyle w:val="Style_6"/>
        <w:spacing w:after="0"/>
        <w:ind w:firstLine="709" w:left="0"/>
        <w:jc w:val="both"/>
      </w:pPr>
      <w:r>
        <w:rPr>
          <w:b w:val="1"/>
          <w:sz w:val="28"/>
        </w:rPr>
        <w:t>Показатель 37. Удовлетворенность населения деятельностью органов местного самоуправления городского округа (муниципального района).</w:t>
      </w:r>
    </w:p>
    <w:p w14:paraId="00010000">
      <w:pPr>
        <w:pStyle w:val="Style_6"/>
        <w:spacing w:after="0"/>
        <w:ind/>
        <w:jc w:val="both"/>
        <w:rPr>
          <w:b w:val="1"/>
          <w:sz w:val="28"/>
        </w:rPr>
      </w:pPr>
    </w:p>
    <w:p w14:paraId="01010000">
      <w:pPr>
        <w:pStyle w:val="Style_6"/>
        <w:spacing w:after="0"/>
        <w:ind w:firstLine="690" w:left="0"/>
        <w:jc w:val="both"/>
      </w:pPr>
      <w:r>
        <w:rPr>
          <w:sz w:val="28"/>
        </w:rPr>
        <w:t>Удовлетворенность населения деятельностью органов местного самоуправления муниципального ра</w:t>
      </w:r>
      <w:r>
        <w:rPr>
          <w:sz w:val="28"/>
        </w:rPr>
        <w:t>йона составила в 2019 году — 56,0 %, в 2020 году -60,2%, в 2021 году -57,1%.</w:t>
      </w:r>
    </w:p>
    <w:p w14:paraId="02010000">
      <w:pPr>
        <w:pStyle w:val="Style_6"/>
        <w:spacing w:after="0"/>
        <w:ind w:firstLine="690" w:left="0"/>
        <w:jc w:val="both"/>
      </w:pPr>
      <w:r>
        <w:rPr>
          <w:sz w:val="28"/>
        </w:rPr>
        <w:t xml:space="preserve">В практике работы Администрации района используются такие формы, как выезды информационных групп, проведение публичных слушаний, выездные приемы граждан в сельских поселениях главой Администрации района. </w:t>
      </w:r>
      <w:r>
        <w:rPr>
          <w:sz w:val="28"/>
          <w:highlight w:val="white"/>
        </w:rPr>
        <w:t>В плановом периоде 2022-2024</w:t>
      </w:r>
      <w:r>
        <w:rPr>
          <w:sz w:val="28"/>
          <w:highlight w:val="white"/>
        </w:rPr>
        <w:t xml:space="preserve"> годах планируется увеличивать этот показатель до </w:t>
      </w:r>
      <w:r>
        <w:rPr>
          <w:sz w:val="28"/>
          <w:highlight w:val="white"/>
        </w:rPr>
        <w:t>57,5</w:t>
      </w:r>
      <w:r>
        <w:rPr>
          <w:sz w:val="28"/>
          <w:highlight w:val="white"/>
        </w:rPr>
        <w:t>%.  Для этого в районе будут продолжать работать информационные группы с выездом в сельские поселения, планируется расширить систему м</w:t>
      </w:r>
      <w:r>
        <w:rPr>
          <w:sz w:val="28"/>
          <w:highlight w:val="white"/>
        </w:rPr>
        <w:t>ежведомственного взаимодействия, работу в социальных сетях с населением через официальные аккаунты и группы Администрации района.</w:t>
      </w:r>
    </w:p>
    <w:p w14:paraId="03010000">
      <w:pPr>
        <w:pStyle w:val="Style_6"/>
        <w:spacing w:after="0"/>
        <w:ind w:firstLine="690" w:left="0"/>
        <w:jc w:val="both"/>
        <w:rPr>
          <w:highlight w:val="white"/>
        </w:rPr>
      </w:pPr>
    </w:p>
    <w:p w14:paraId="04010000">
      <w:pPr>
        <w:ind w:firstLine="709" w:left="0"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Показатель 38. Среднегодовая численность постоянного населения.</w:t>
      </w:r>
    </w:p>
    <w:p w14:paraId="05010000">
      <w:pPr>
        <w:ind w:firstLine="690" w:left="0"/>
        <w:jc w:val="both"/>
        <w:rPr>
          <w:color w:val="000000"/>
          <w:sz w:val="28"/>
        </w:rPr>
      </w:pPr>
    </w:p>
    <w:p w14:paraId="06010000">
      <w:pPr>
        <w:ind w:firstLine="690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Среднегодовая численность постоянного населения в 2018 году – 27,2 тыс. человек, в 2019 году – 26,6 тыс. человек, в 2020 году – 26,0 тыс. человек, в 20</w:t>
      </w:r>
      <w:r>
        <w:rPr>
          <w:color w:val="000000"/>
          <w:sz w:val="28"/>
        </w:rPr>
        <w:t>21 году – 25,5</w:t>
      </w:r>
      <w:r>
        <w:rPr>
          <w:color w:val="000000"/>
          <w:sz w:val="28"/>
        </w:rPr>
        <w:t xml:space="preserve"> тыс. человек.</w:t>
      </w:r>
    </w:p>
    <w:p w14:paraId="07010000">
      <w:pPr>
        <w:ind w:firstLine="690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Показатели сформированы с учетом статистических данных и свидетельствуют о снижении уровня численности населения в Песчанокопском районе. </w:t>
      </w:r>
    </w:p>
    <w:p w14:paraId="08010000">
      <w:pPr>
        <w:ind w:firstLine="690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Отмечается снижение показателя в 2021 году по сравнению с 2020 годом вследствие внутренней миграции населения (сезонная миграция, урбанизация), а также сохраняющейся тенденции превышения смертности над рождаемостью.</w:t>
      </w:r>
    </w:p>
    <w:p w14:paraId="09010000">
      <w:pPr>
        <w:ind/>
        <w:jc w:val="both"/>
        <w:rPr>
          <w:color w:val="000000"/>
        </w:rPr>
      </w:pPr>
      <w:r>
        <w:rPr>
          <w:color w:val="000000"/>
          <w:sz w:val="28"/>
        </w:rPr>
        <w:t>Прогнозируемые значения показателя 2022-2024 годов: 2022 год – 26,9 тысяч человек, 2023 год – 27,2 тысяч человек, 2022 год – 27,9 тысяч человек установлены с учетом анализа естественного миграционного движения населения Песчанокопского района и подлежат ежегодной корректировке. Основным инструментом улучшения демографической ситуации является реализация Национального проекта «Демография», реализация мероприятий программ по обеспечению жильем населения Песчанокопского района, а также предоставление многодетным семьям земельных участков.</w:t>
      </w:r>
    </w:p>
    <w:p w14:paraId="0A010000">
      <w:pPr>
        <w:ind w:firstLine="709" w:left="0"/>
        <w:jc w:val="both"/>
        <w:rPr>
          <w:sz w:val="28"/>
        </w:rPr>
      </w:pPr>
    </w:p>
    <w:p w14:paraId="0B010000">
      <w:pPr>
        <w:ind w:firstLine="709" w:left="0"/>
        <w:jc w:val="both"/>
      </w:pPr>
    </w:p>
    <w:p w14:paraId="0C010000">
      <w:pPr>
        <w:spacing w:line="360" w:lineRule="auto"/>
        <w:ind w:firstLine="690" w:left="0"/>
        <w:jc w:val="both"/>
        <w:rPr>
          <w:color w:val="000000"/>
        </w:rPr>
      </w:pPr>
      <w:r>
        <w:rPr>
          <w:b w:val="1"/>
          <w:color w:val="000000"/>
          <w:sz w:val="28"/>
        </w:rPr>
        <w:t>IX. Энергосбережение и повышение энергетической эффективности</w:t>
      </w:r>
    </w:p>
    <w:p w14:paraId="0D010000">
      <w:pPr>
        <w:ind w:firstLine="709" w:left="0"/>
        <w:jc w:val="both"/>
        <w:rPr>
          <w:color w:val="000000"/>
        </w:rPr>
      </w:pPr>
      <w:r>
        <w:rPr>
          <w:b w:val="1"/>
          <w:color w:val="000000"/>
          <w:sz w:val="28"/>
        </w:rPr>
        <w:t>Показатель 39. Удельная величина потребления энергетических ресурсов (электрическая и тепловая энергия, вода, природный газ) в многоквартирных домах.</w:t>
      </w:r>
    </w:p>
    <w:p w14:paraId="0E010000">
      <w:pPr>
        <w:ind w:firstLine="709" w:left="0"/>
        <w:jc w:val="both"/>
        <w:rPr>
          <w:color w:val="000000"/>
          <w:sz w:val="28"/>
        </w:rPr>
      </w:pPr>
    </w:p>
    <w:p w14:paraId="0F010000">
      <w:pPr>
        <w:ind w:firstLine="709" w:left="0"/>
        <w:jc w:val="both"/>
        <w:rPr>
          <w:color w:val="000000"/>
        </w:rPr>
      </w:pPr>
      <w:r>
        <w:rPr>
          <w:color w:val="000000"/>
          <w:sz w:val="28"/>
        </w:rPr>
        <w:t>Удельная величина потребления энергетических ресурсов в многоквартирных домах:</w:t>
      </w:r>
    </w:p>
    <w:p w14:paraId="10010000">
      <w:pPr>
        <w:ind w:firstLine="709" w:left="0"/>
        <w:jc w:val="both"/>
        <w:rPr>
          <w:color w:val="000000"/>
        </w:rPr>
      </w:pPr>
      <w:r>
        <w:rPr>
          <w:color w:val="000000"/>
          <w:sz w:val="28"/>
        </w:rPr>
        <w:t>- электрическая энергия составила в 2019 году –723,00 кВт/ч на 1 проживающего; в 2020 году – 720,00 кВт/ч на 1 проживающего; в 2021 году – 720 кВт/ч на 1 проживающего;</w:t>
      </w:r>
    </w:p>
    <w:p w14:paraId="11010000">
      <w:pPr>
        <w:ind w:firstLine="709" w:left="0"/>
        <w:jc w:val="both"/>
        <w:rPr>
          <w:color w:val="000000"/>
        </w:rPr>
      </w:pPr>
      <w:r>
        <w:rPr>
          <w:color w:val="000000"/>
          <w:sz w:val="28"/>
        </w:rPr>
        <w:t>- тепловая энергия в 2019 году – 0,1 Гкал на 1 кв. метр общей площади; в 2020 году – 0,1 Гкал на 1 кв. метр общей площади; в 2021 году - 0,1 Гкал на 1 кв. метр общей площади;</w:t>
      </w:r>
    </w:p>
    <w:p w14:paraId="12010000">
      <w:pPr>
        <w:ind w:firstLine="709" w:left="0"/>
        <w:jc w:val="both"/>
        <w:rPr>
          <w:color w:val="000000"/>
        </w:rPr>
      </w:pPr>
      <w:r>
        <w:rPr>
          <w:color w:val="000000"/>
          <w:sz w:val="28"/>
        </w:rPr>
        <w:t>- горячая вода отсутствует;</w:t>
      </w:r>
    </w:p>
    <w:p w14:paraId="13010000">
      <w:pPr>
        <w:ind w:firstLine="709" w:left="0"/>
        <w:jc w:val="both"/>
        <w:rPr>
          <w:color w:val="000000"/>
        </w:rPr>
      </w:pPr>
      <w:r>
        <w:rPr>
          <w:color w:val="000000"/>
          <w:sz w:val="28"/>
        </w:rPr>
        <w:t>- холодная вода составила в 2019 году – 23,00 куб. метров на 1 проживающего; в 2020 году – 22,00 куб. метров; в 2021 году - 22,00 куб. метров на 1 проживающего;</w:t>
      </w:r>
    </w:p>
    <w:p w14:paraId="14010000">
      <w:pPr>
        <w:ind w:firstLine="709" w:left="0"/>
        <w:jc w:val="both"/>
        <w:rPr>
          <w:color w:val="000000"/>
        </w:rPr>
      </w:pPr>
      <w:r>
        <w:rPr>
          <w:color w:val="000000"/>
          <w:sz w:val="28"/>
        </w:rPr>
        <w:t>- природный газ составил в 2019 году – 900,0 куб. метров на 1 проживающего; в 2020 году – 900,0 куб. метров на 1 проживающего, в 2021 году – 900,0 куб. метров на 1 проживающего.</w:t>
      </w:r>
    </w:p>
    <w:p w14:paraId="15010000">
      <w:pPr>
        <w:ind w:firstLine="690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Показатели по удельной величине потребления энергетических ресурсов за 2021 год (электрическая и тепловая энергия, вода, природный газ) в многоквартирных домах отражены согласно фактическому потреблению коммунальных ресурсов жителями Песчанокопского района, проживающих в многоквартирных домах. </w:t>
      </w:r>
    </w:p>
    <w:p w14:paraId="16010000">
      <w:p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Благодаря реализации на территории Песчанокопского района Федерального закона от 23.11.2009 № 261-ФЗ «Об энергосбережении и повышении энергетической эффективности», были достигнуты следующие показатели: удельная величина потребления электрической энергии, тепловой энергии, холодной воды, природного газа остались на прежнем уровне.</w:t>
      </w:r>
    </w:p>
    <w:p w14:paraId="17010000">
      <w:pPr>
        <w:ind w:firstLine="690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В прогнозируемом периоде 2022-2024 годах будет наблюдаться снижение показателей по электроэнергии за счет выполнения энергосберегающих мероприятий в домах и снижения общедомовых расходов.</w:t>
      </w:r>
    </w:p>
    <w:p w14:paraId="18010000">
      <w:pPr>
        <w:ind w:firstLine="690" w:left="0"/>
        <w:jc w:val="both"/>
        <w:rPr>
          <w:b w:val="1"/>
          <w:color w:val="000000"/>
          <w:sz w:val="28"/>
        </w:rPr>
      </w:pPr>
    </w:p>
    <w:p w14:paraId="19010000">
      <w:pPr>
        <w:ind w:firstLine="709" w:left="0"/>
        <w:jc w:val="both"/>
        <w:rPr>
          <w:color w:val="000000"/>
        </w:rPr>
      </w:pPr>
      <w:r>
        <w:rPr>
          <w:b w:val="1"/>
          <w:color w:val="000000"/>
          <w:sz w:val="28"/>
        </w:rPr>
        <w:t>Показатель 40. Удельная величина потребления энергетических ресурсов (электрическая и тепловая энергия, вода, природный газ) муниципальными бюджетными учреждениями.</w:t>
      </w:r>
    </w:p>
    <w:p w14:paraId="1A010000">
      <w:pPr>
        <w:ind/>
        <w:jc w:val="both"/>
        <w:rPr>
          <w:b w:val="1"/>
          <w:color w:val="000000"/>
          <w:sz w:val="28"/>
        </w:rPr>
      </w:pPr>
    </w:p>
    <w:p w14:paraId="1B010000">
      <w:pPr>
        <w:ind w:firstLine="709" w:left="0"/>
        <w:rPr>
          <w:color w:val="000000"/>
        </w:rPr>
      </w:pPr>
      <w:r>
        <w:rPr>
          <w:color w:val="000000"/>
          <w:sz w:val="28"/>
        </w:rPr>
        <w:t xml:space="preserve">Удельная величина потребления энергетических ресурсов муниципальными бюджетными учреждениями: </w:t>
      </w:r>
    </w:p>
    <w:p w14:paraId="1C010000">
      <w:pPr>
        <w:ind w:firstLine="709" w:left="0"/>
        <w:jc w:val="both"/>
        <w:rPr>
          <w:color w:val="000000"/>
        </w:rPr>
      </w:pPr>
      <w:r>
        <w:rPr>
          <w:color w:val="000000"/>
          <w:sz w:val="28"/>
        </w:rPr>
        <w:t>- электрическая энергия составила в 2019 году – 70,0 кВт/ч на 1 человека населения, в 2020 году – 70,0 кВт/ч на 1 человека населения; в 2021 году – 70,0 кВт/ч на 1 человека населения;</w:t>
      </w:r>
    </w:p>
    <w:p w14:paraId="1D010000">
      <w:pPr>
        <w:ind w:firstLine="709" w:left="0"/>
        <w:jc w:val="both"/>
        <w:rPr>
          <w:color w:val="000000"/>
        </w:rPr>
      </w:pPr>
      <w:r>
        <w:rPr>
          <w:color w:val="000000"/>
          <w:sz w:val="28"/>
        </w:rPr>
        <w:t>- тепловая энергия составила в 2019 году – 0,1 Гкал на 1 кв. метр общей площади, в 2020 году – 0,1 Гкал на 1 кв. метр общей площади, в 2021 году – 0,1 Гкал на 1 кв. метр общей площади;</w:t>
      </w:r>
    </w:p>
    <w:p w14:paraId="1E010000">
      <w:pPr>
        <w:ind w:firstLine="709" w:left="0"/>
        <w:jc w:val="both"/>
        <w:rPr>
          <w:color w:val="000000"/>
        </w:rPr>
      </w:pPr>
      <w:r>
        <w:rPr>
          <w:color w:val="000000"/>
          <w:sz w:val="28"/>
        </w:rPr>
        <w:t>- горячая вода отсутствует;</w:t>
      </w:r>
    </w:p>
    <w:p w14:paraId="1F010000">
      <w:pPr>
        <w:ind w:firstLine="709" w:left="0"/>
        <w:jc w:val="both"/>
        <w:rPr>
          <w:color w:val="000000"/>
        </w:rPr>
      </w:pPr>
      <w:r>
        <w:rPr>
          <w:color w:val="000000"/>
          <w:sz w:val="28"/>
        </w:rPr>
        <w:t>- холодная вода составила в 2019 году – 1,89 куб. метров на 1 человека населения, в 2020 году – 1,89 куб. метров на 1 человека населения, в 2021 году - 1,89 куб. метров на 1 человека населения;</w:t>
      </w:r>
    </w:p>
    <w:p w14:paraId="20010000">
      <w:pPr>
        <w:ind w:firstLine="709" w:left="0"/>
        <w:jc w:val="both"/>
        <w:rPr>
          <w:color w:val="000000"/>
        </w:rPr>
      </w:pPr>
      <w:r>
        <w:rPr>
          <w:color w:val="000000"/>
          <w:sz w:val="28"/>
        </w:rPr>
        <w:t>- природный газ составил в 2019 году – 73,0 куб. метров на 1 человека населения, в 2020 году – 73,00 куб. метров на 1 проживающего, в 2021 году – 73,00 куб. метров на 1 проживающего.</w:t>
      </w:r>
    </w:p>
    <w:p w14:paraId="21010000">
      <w:pPr>
        <w:ind w:firstLine="720" w:left="0"/>
        <w:jc w:val="both"/>
        <w:rPr>
          <w:color w:val="000000"/>
        </w:rPr>
      </w:pPr>
      <w:r>
        <w:rPr>
          <w:color w:val="000000"/>
          <w:sz w:val="28"/>
        </w:rPr>
        <w:t xml:space="preserve">Показатель удельной величины потребления энергетических ресурсов (электрическая и тепловая энергия, холодная вода, природный газ) муниципальными бюджетными учреждениями Песчанокопского района за 2021 год рассчитан с учетом фактических объемов потребления топливно-энергетических ресурсов. </w:t>
      </w:r>
    </w:p>
    <w:p w14:paraId="22010000">
      <w:pPr>
        <w:ind w:firstLine="709" w:left="0"/>
        <w:jc w:val="both"/>
        <w:rPr>
          <w:color w:val="000000"/>
        </w:rPr>
      </w:pPr>
      <w:r>
        <w:rPr>
          <w:color w:val="000000"/>
          <w:sz w:val="28"/>
        </w:rPr>
        <w:t>Прогнозные показатели на 2022-2024 годы рассчитаны в соответствии со статьей 24 Федерального закона № 261-ФЗ «Об энергосбережении и повышение энергетической эффективности на период 2019-2021 годы» с утвержденными лимитами потребления топливно-энергетических ресурсов, и услуг водоснабжения для муниципальных бюджетных организаций на 2018-2020 годы и прогнозируемой численности населения Песчанокопского района.</w:t>
      </w:r>
    </w:p>
    <w:p w14:paraId="23010000">
      <w:pPr>
        <w:ind w:firstLine="709" w:left="0"/>
        <w:jc w:val="both"/>
        <w:rPr>
          <w:b w:val="1"/>
          <w:color w:val="000000"/>
          <w:sz w:val="28"/>
        </w:rPr>
      </w:pPr>
    </w:p>
    <w:p w14:paraId="24010000">
      <w:pPr>
        <w:ind w:firstLine="708" w:left="0"/>
        <w:jc w:val="both"/>
        <w:rPr>
          <w:b w:val="1"/>
          <w:sz w:val="28"/>
        </w:rPr>
      </w:pPr>
      <w:r>
        <w:rPr>
          <w:b w:val="1"/>
          <w:sz w:val="28"/>
        </w:rPr>
        <w:t>Показатель 41. 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</w:t>
      </w:r>
    </w:p>
    <w:p w14:paraId="25010000">
      <w:pPr>
        <w:ind w:firstLine="708" w:left="0"/>
        <w:jc w:val="both"/>
        <w:rPr>
          <w:b w:val="1"/>
          <w:sz w:val="28"/>
        </w:rPr>
      </w:pPr>
    </w:p>
    <w:p w14:paraId="26010000">
      <w:pPr>
        <w:tabs>
          <w:tab w:leader="none" w:pos="1605" w:val="left"/>
        </w:tabs>
        <w:ind w:firstLine="709" w:left="0"/>
        <w:jc w:val="both"/>
        <w:rPr>
          <w:rFonts w:ascii="Calibri" w:hAnsi="Calibri"/>
          <w:sz w:val="28"/>
        </w:rPr>
      </w:pPr>
      <w:r>
        <w:rPr>
          <w:sz w:val="28"/>
        </w:rPr>
        <w:t xml:space="preserve">По результатам проведения независимой оценки качества условий оказания услуг в учреждениях культуры </w:t>
      </w:r>
      <w:r>
        <w:rPr>
          <w:sz w:val="28"/>
        </w:rPr>
        <w:t>Песчанокопского</w:t>
      </w:r>
      <w:r>
        <w:rPr>
          <w:sz w:val="28"/>
        </w:rPr>
        <w:t xml:space="preserve"> района, п</w:t>
      </w:r>
      <w:r>
        <w:rPr>
          <w:sz w:val="28"/>
        </w:rPr>
        <w:t>оказатель оценки качества в 2019</w:t>
      </w:r>
      <w:r>
        <w:rPr>
          <w:sz w:val="28"/>
        </w:rPr>
        <w:t xml:space="preserve"> году составил </w:t>
      </w:r>
      <w:r>
        <w:rPr>
          <w:sz w:val="28"/>
        </w:rPr>
        <w:t>58,59 баллов</w:t>
      </w:r>
      <w:r>
        <w:rPr>
          <w:sz w:val="28"/>
        </w:rPr>
        <w:t xml:space="preserve">, в 2021 году </w:t>
      </w:r>
      <w:r>
        <w:rPr>
          <w:sz w:val="28"/>
        </w:rPr>
        <w:t>независимая оценка качества не проводилась.</w:t>
      </w:r>
      <w:r>
        <w:rPr>
          <w:rFonts w:ascii="Calibri" w:hAnsi="Calibri"/>
          <w:sz w:val="28"/>
        </w:rPr>
        <w:t xml:space="preserve"> </w:t>
      </w:r>
      <w:r>
        <w:rPr>
          <w:rFonts w:ascii="Calibri" w:hAnsi="Calibri"/>
          <w:sz w:val="28"/>
        </w:rPr>
        <w:t>П</w:t>
      </w:r>
      <w:r>
        <w:rPr>
          <w:sz w:val="28"/>
        </w:rPr>
        <w:t>рогнозный показатель</w:t>
      </w:r>
      <w:r>
        <w:rPr>
          <w:rFonts w:ascii="Calibri" w:hAnsi="Calibri"/>
          <w:sz w:val="28"/>
        </w:rPr>
        <w:t xml:space="preserve"> </w:t>
      </w:r>
      <w:r>
        <w:rPr>
          <w:sz w:val="28"/>
        </w:rPr>
        <w:t xml:space="preserve">независимой оценки качества в учреждениях культуры на 2022 год - </w:t>
      </w:r>
      <w:r>
        <w:rPr>
          <w:sz w:val="28"/>
        </w:rPr>
        <w:t>60 баллов.</w:t>
      </w:r>
    </w:p>
    <w:p w14:paraId="27010000">
      <w:pPr>
        <w:ind w:firstLine="567" w:left="0"/>
        <w:jc w:val="both"/>
        <w:rPr>
          <w:b w:val="1"/>
          <w:sz w:val="28"/>
          <w:highlight w:val="white"/>
        </w:rPr>
      </w:pPr>
      <w:r>
        <w:rPr>
          <w:b w:val="1"/>
          <w:sz w:val="28"/>
          <w:highlight w:val="white"/>
        </w:rPr>
        <w:t>42.  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образований.</w:t>
      </w:r>
    </w:p>
    <w:p w14:paraId="28010000">
      <w:pPr>
        <w:spacing w:after="200"/>
        <w:ind w:firstLine="567" w:left="0"/>
        <w:jc w:val="both"/>
        <w:rPr>
          <w:i w:val="1"/>
          <w:sz w:val="28"/>
        </w:rPr>
      </w:pPr>
    </w:p>
    <w:p w14:paraId="29010000">
      <w:pPr>
        <w:spacing w:after="200"/>
        <w:ind w:firstLine="567" w:left="0"/>
        <w:jc w:val="both"/>
        <w:rPr>
          <w:spacing w:val="2"/>
          <w:sz w:val="28"/>
          <w:highlight w:val="white"/>
        </w:rPr>
      </w:pPr>
      <w:r>
        <w:rPr>
          <w:sz w:val="28"/>
        </w:rPr>
        <w:t xml:space="preserve">Независимая оценка условий осуществления образовательной деятельности проводилась в </w:t>
      </w:r>
      <w:r>
        <w:rPr>
          <w:sz w:val="28"/>
        </w:rPr>
        <w:t>2019,2021 годах</w:t>
      </w:r>
      <w:r>
        <w:rPr>
          <w:sz w:val="28"/>
        </w:rPr>
        <w:t xml:space="preserve">. </w:t>
      </w:r>
      <w:r>
        <w:rPr>
          <w:sz w:val="28"/>
        </w:rPr>
        <w:t xml:space="preserve">Показатели независимой оценки качества условий </w:t>
      </w:r>
      <w:r>
        <w:rPr>
          <w:sz w:val="28"/>
        </w:rPr>
        <w:t>осуществления образовательной деятельности образовательными организациями</w:t>
      </w:r>
      <w:r>
        <w:rPr>
          <w:sz w:val="28"/>
        </w:rPr>
        <w:t xml:space="preserve"> </w:t>
      </w:r>
      <w:r>
        <w:rPr>
          <w:sz w:val="28"/>
        </w:rPr>
        <w:t xml:space="preserve">размещены на </w:t>
      </w:r>
      <w:r>
        <w:rPr>
          <w:sz w:val="28"/>
          <w:u w:val="single"/>
        </w:rPr>
        <w:fldChar w:fldCharType="begin"/>
      </w:r>
      <w:r>
        <w:rPr>
          <w:sz w:val="28"/>
          <w:u w:val="single"/>
        </w:rPr>
        <w:instrText>HYPERLINK "http://bus.gov.ru"</w:instrText>
      </w:r>
      <w:r>
        <w:rPr>
          <w:sz w:val="28"/>
          <w:u w:val="single"/>
        </w:rPr>
        <w:fldChar w:fldCharType="separate"/>
      </w:r>
      <w:r>
        <w:rPr>
          <w:sz w:val="28"/>
          <w:u w:val="single"/>
        </w:rPr>
        <w:t>http://bus.gov.ru</w:t>
      </w:r>
      <w:r>
        <w:rPr>
          <w:sz w:val="28"/>
          <w:u w:val="single"/>
        </w:rPr>
        <w:fldChar w:fldCharType="end"/>
      </w:r>
      <w:r>
        <w:rPr>
          <w:sz w:val="28"/>
          <w:u w:val="single"/>
        </w:rPr>
        <w:t xml:space="preserve">. </w:t>
      </w:r>
      <w:r>
        <w:rPr>
          <w:spacing w:val="2"/>
          <w:sz w:val="28"/>
          <w:highlight w:val="white"/>
        </w:rPr>
        <w:t>Показатель оценки кач</w:t>
      </w:r>
      <w:r>
        <w:rPr>
          <w:spacing w:val="2"/>
          <w:sz w:val="28"/>
          <w:highlight w:val="white"/>
        </w:rPr>
        <w:t>ества  составил 2019 году - 85,61</w:t>
      </w:r>
      <w:r>
        <w:rPr>
          <w:spacing w:val="2"/>
          <w:sz w:val="28"/>
          <w:highlight w:val="white"/>
        </w:rPr>
        <w:t xml:space="preserve"> баллов., </w:t>
      </w:r>
      <w:r>
        <w:rPr>
          <w:spacing w:val="2"/>
          <w:sz w:val="28"/>
          <w:highlight w:val="white"/>
        </w:rPr>
        <w:t>в 2021 году – 87,08</w:t>
      </w:r>
      <w:r>
        <w:rPr>
          <w:spacing w:val="2"/>
          <w:sz w:val="28"/>
          <w:highlight w:val="white"/>
        </w:rPr>
        <w:t xml:space="preserve"> баллов. Планируется про</w:t>
      </w:r>
      <w:r>
        <w:rPr>
          <w:spacing w:val="2"/>
          <w:sz w:val="28"/>
          <w:highlight w:val="white"/>
        </w:rPr>
        <w:t xml:space="preserve">вести независимую оценку в </w:t>
      </w:r>
      <w:r>
        <w:rPr>
          <w:spacing w:val="2"/>
          <w:sz w:val="28"/>
          <w:highlight w:val="white"/>
        </w:rPr>
        <w:t xml:space="preserve">2024 годах. </w:t>
      </w:r>
      <w:r>
        <w:rPr>
          <w:sz w:val="28"/>
        </w:rPr>
        <w:t xml:space="preserve">Планируемый показатель качества </w:t>
      </w:r>
      <w:r>
        <w:rPr>
          <w:spacing w:val="2"/>
          <w:sz w:val="28"/>
          <w:highlight w:val="white"/>
        </w:rPr>
        <w:t>90 баллов.</w:t>
      </w:r>
    </w:p>
    <w:p w14:paraId="2A010000">
      <w:pPr>
        <w:ind w:firstLine="567" w:left="0"/>
        <w:jc w:val="both"/>
        <w:rPr>
          <w:b w:val="1"/>
          <w:sz w:val="28"/>
          <w:highlight w:val="white"/>
        </w:rPr>
      </w:pPr>
      <w:r>
        <w:rPr>
          <w:b w:val="1"/>
          <w:sz w:val="28"/>
          <w:highlight w:val="white"/>
        </w:rPr>
        <w:t>43.  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образований.</w:t>
      </w:r>
    </w:p>
    <w:p w14:paraId="2B010000">
      <w:pPr>
        <w:ind w:firstLine="567" w:left="0"/>
        <w:jc w:val="both"/>
        <w:rPr>
          <w:sz w:val="28"/>
        </w:rPr>
      </w:pPr>
      <w:r>
        <w:rPr>
          <w:spacing w:val="2"/>
          <w:sz w:val="28"/>
          <w:highlight w:val="white"/>
        </w:rPr>
        <w:t>В МБУЗ «</w:t>
      </w:r>
      <w:r>
        <w:rPr>
          <w:spacing w:val="2"/>
          <w:sz w:val="28"/>
          <w:highlight w:val="white"/>
        </w:rPr>
        <w:t>Песчанокопская</w:t>
      </w:r>
      <w:r>
        <w:rPr>
          <w:spacing w:val="2"/>
          <w:sz w:val="28"/>
          <w:highlight w:val="white"/>
        </w:rPr>
        <w:t xml:space="preserve"> ЦРБ»  независимая оценка качества условий оказания услуг </w:t>
      </w:r>
      <w:r>
        <w:rPr>
          <w:color w:val="000000"/>
          <w:spacing w:val="2"/>
          <w:sz w:val="28"/>
          <w:highlight w:val="white"/>
          <w:u w:val="single"/>
        </w:rPr>
        <w:t xml:space="preserve">проводилась в 2021 году. </w:t>
      </w:r>
      <w:r>
        <w:rPr>
          <w:sz w:val="28"/>
        </w:rPr>
        <w:t xml:space="preserve"> </w:t>
      </w:r>
      <w:r>
        <w:rPr>
          <w:sz w:val="28"/>
        </w:rPr>
        <w:t xml:space="preserve">Показатели независимой оценки качества условий </w:t>
      </w:r>
      <w:r>
        <w:rPr>
          <w:sz w:val="28"/>
        </w:rPr>
        <w:t>осуществления медицинской деятельности медицинскими  организациями</w:t>
      </w:r>
      <w:r>
        <w:rPr>
          <w:sz w:val="28"/>
        </w:rPr>
        <w:t xml:space="preserve">, </w:t>
      </w:r>
      <w:r>
        <w:rPr>
          <w:sz w:val="28"/>
        </w:rPr>
        <w:t xml:space="preserve">размещены на </w:t>
      </w:r>
      <w:r>
        <w:rPr>
          <w:sz w:val="28"/>
        </w:rPr>
        <w:fldChar w:fldCharType="begin"/>
      </w:r>
      <w:r>
        <w:rPr>
          <w:sz w:val="28"/>
        </w:rPr>
        <w:instrText>HYPERLINK "http://bus.gov.ru"</w:instrText>
      </w:r>
      <w:r>
        <w:rPr>
          <w:sz w:val="28"/>
        </w:rPr>
        <w:fldChar w:fldCharType="separate"/>
      </w:r>
      <w:r>
        <w:rPr>
          <w:sz w:val="28"/>
        </w:rPr>
        <w:t>http://bus.gov.ru</w:t>
      </w:r>
      <w:r>
        <w:rPr>
          <w:sz w:val="28"/>
        </w:rPr>
        <w:fldChar w:fldCharType="end"/>
      </w:r>
      <w:r>
        <w:rPr>
          <w:sz w:val="28"/>
        </w:rPr>
        <w:t>.  и составил в 2021году – 61баллов</w:t>
      </w:r>
      <w:r>
        <w:rPr>
          <w:sz w:val="28"/>
        </w:rPr>
        <w:t>.</w:t>
      </w:r>
    </w:p>
    <w:p w14:paraId="2C010000">
      <w:pPr>
        <w:ind/>
        <w:jc w:val="both"/>
        <w:rPr>
          <w:rFonts w:ascii="Calibri" w:hAnsi="Calibri"/>
          <w:sz w:val="22"/>
        </w:rPr>
      </w:pPr>
      <w:r>
        <w:rPr>
          <w:i w:val="1"/>
          <w:color w:val="000000"/>
          <w:spacing w:val="2"/>
          <w:sz w:val="28"/>
          <w:highlight w:val="white"/>
          <w:u w:val="single"/>
        </w:rPr>
        <w:t xml:space="preserve"> </w:t>
      </w:r>
      <w:r>
        <w:rPr>
          <w:color w:val="000000"/>
          <w:spacing w:val="2"/>
          <w:sz w:val="28"/>
          <w:highlight w:val="white"/>
          <w:u w:val="single"/>
        </w:rPr>
        <w:t>Ожидаемые результаты   проведения независимой оценки качества условий оказания услуг в  202</w:t>
      </w:r>
      <w:r>
        <w:rPr>
          <w:color w:val="000000"/>
          <w:spacing w:val="2"/>
          <w:sz w:val="28"/>
          <w:highlight w:val="white"/>
          <w:u w:val="single"/>
        </w:rPr>
        <w:t>4году- 65 баллов.</w:t>
      </w:r>
    </w:p>
    <w:p w14:paraId="2D010000">
      <w:pPr>
        <w:ind w:firstLine="567" w:left="0"/>
        <w:jc w:val="both"/>
        <w:rPr>
          <w:i w:val="1"/>
          <w:spacing w:val="2"/>
          <w:sz w:val="28"/>
          <w:highlight w:val="white"/>
        </w:rPr>
      </w:pPr>
    </w:p>
    <w:p w14:paraId="2E010000">
      <w:pPr>
        <w:ind w:firstLine="567" w:left="0"/>
        <w:jc w:val="both"/>
        <w:rPr>
          <w:b w:val="1"/>
          <w:sz w:val="28"/>
          <w:highlight w:val="white"/>
        </w:rPr>
      </w:pPr>
      <w:r>
        <w:rPr>
          <w:b w:val="1"/>
          <w:sz w:val="28"/>
          <w:highlight w:val="white"/>
        </w:rPr>
        <w:t>44.  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образований.</w:t>
      </w:r>
    </w:p>
    <w:p w14:paraId="2F010000">
      <w:pPr>
        <w:ind w:firstLine="567" w:left="0"/>
        <w:jc w:val="both"/>
        <w:rPr>
          <w:sz w:val="28"/>
        </w:rPr>
      </w:pPr>
      <w:r>
        <w:rPr>
          <w:sz w:val="28"/>
        </w:rPr>
        <w:t xml:space="preserve">Независимая оценка качества условий оказания услуг муниципальным бюджетным учреждением </w:t>
      </w:r>
      <w:r>
        <w:rPr>
          <w:sz w:val="28"/>
        </w:rPr>
        <w:t>Песчанокопского</w:t>
      </w:r>
      <w:r>
        <w:rPr>
          <w:sz w:val="28"/>
        </w:rPr>
        <w:t xml:space="preserve"> района «Центр социального  обслуживания граждан пожилого возраста и инвалидов» проводилась в 2020г. </w:t>
      </w:r>
    </w:p>
    <w:p w14:paraId="30010000">
      <w:pPr>
        <w:ind w:firstLine="567" w:left="0"/>
        <w:jc w:val="both"/>
        <w:rPr>
          <w:sz w:val="28"/>
        </w:rPr>
      </w:pPr>
      <w:r>
        <w:rPr>
          <w:sz w:val="28"/>
        </w:rPr>
        <w:t>В соответствии с письмом Минтруда России изучение условий оказания услуг и открытость информации на информационных стендах в помещении организации с помощью фото и видеофиксации каждого параметра показателя проводилась в «удаленном режиме».</w:t>
      </w:r>
    </w:p>
    <w:p w14:paraId="31010000">
      <w:pPr>
        <w:ind w:firstLine="567" w:left="0"/>
        <w:jc w:val="both"/>
        <w:rPr>
          <w:sz w:val="28"/>
        </w:rPr>
      </w:pPr>
      <w:r>
        <w:rPr>
          <w:sz w:val="28"/>
        </w:rPr>
        <w:t xml:space="preserve">Показатели независимой оценки качества условий оказания услуг муниципальным бюджетным учреждением </w:t>
      </w:r>
      <w:r>
        <w:rPr>
          <w:sz w:val="28"/>
        </w:rPr>
        <w:t>Песчанокопского</w:t>
      </w:r>
      <w:r>
        <w:rPr>
          <w:sz w:val="28"/>
        </w:rPr>
        <w:t xml:space="preserve"> района «Центр социального обслуживания граждан пожилого возраста и инвалидов» размещены на </w:t>
      </w:r>
      <w:r>
        <w:rPr>
          <w:color w:val="000080"/>
          <w:sz w:val="28"/>
          <w:u w:val="single"/>
        </w:rPr>
        <w:fldChar w:fldCharType="begin"/>
      </w:r>
      <w:r>
        <w:rPr>
          <w:color w:val="000080"/>
          <w:sz w:val="28"/>
          <w:u w:val="single"/>
        </w:rPr>
        <w:instrText>HYPERLINK "http://bus.gov.ru"</w:instrText>
      </w:r>
      <w:r>
        <w:rPr>
          <w:color w:val="000080"/>
          <w:sz w:val="28"/>
          <w:u w:val="single"/>
        </w:rPr>
        <w:fldChar w:fldCharType="separate"/>
      </w:r>
      <w:r>
        <w:rPr>
          <w:color w:val="000080"/>
          <w:sz w:val="28"/>
          <w:u w:val="single"/>
        </w:rPr>
        <w:t>http</w:t>
      </w:r>
      <w:r>
        <w:rPr>
          <w:color w:val="000080"/>
          <w:sz w:val="28"/>
          <w:u w:val="single"/>
        </w:rPr>
        <w:t>://</w:t>
      </w:r>
      <w:r>
        <w:rPr>
          <w:color w:val="000080"/>
          <w:sz w:val="28"/>
          <w:u w:val="single"/>
        </w:rPr>
        <w:t>bus</w:t>
      </w:r>
      <w:r>
        <w:rPr>
          <w:color w:val="000080"/>
          <w:sz w:val="28"/>
          <w:u w:val="single"/>
        </w:rPr>
        <w:t>.</w:t>
      </w:r>
      <w:r>
        <w:rPr>
          <w:color w:val="000080"/>
          <w:sz w:val="28"/>
          <w:u w:val="single"/>
        </w:rPr>
        <w:t>gov</w:t>
      </w:r>
      <w:r>
        <w:rPr>
          <w:color w:val="000080"/>
          <w:sz w:val="28"/>
          <w:u w:val="single"/>
        </w:rPr>
        <w:t>.</w:t>
      </w:r>
      <w:r>
        <w:rPr>
          <w:color w:val="000080"/>
          <w:sz w:val="28"/>
          <w:u w:val="single"/>
        </w:rPr>
        <w:t>ru</w:t>
      </w:r>
      <w:r>
        <w:rPr>
          <w:color w:val="000080"/>
          <w:sz w:val="28"/>
          <w:u w:val="single"/>
        </w:rPr>
        <w:fldChar w:fldCharType="end"/>
      </w:r>
      <w:r>
        <w:rPr>
          <w:sz w:val="28"/>
        </w:rPr>
        <w:t xml:space="preserve">. Показатель оценки качества составил </w:t>
      </w:r>
      <w:r>
        <w:rPr>
          <w:sz w:val="28"/>
        </w:rPr>
        <w:t>96</w:t>
      </w:r>
      <w:r>
        <w:rPr>
          <w:sz w:val="28"/>
        </w:rPr>
        <w:t xml:space="preserve"> баллов.</w:t>
      </w:r>
    </w:p>
    <w:p w14:paraId="32010000">
      <w:pPr>
        <w:ind w:firstLine="567" w:left="0"/>
        <w:jc w:val="both"/>
        <w:rPr>
          <w:sz w:val="28"/>
        </w:rPr>
      </w:pPr>
      <w:r>
        <w:rPr>
          <w:sz w:val="28"/>
        </w:rPr>
        <w:t xml:space="preserve">Планируемый </w:t>
      </w:r>
      <w:r>
        <w:rPr>
          <w:sz w:val="28"/>
        </w:rPr>
        <w:t>показатель качества на 2022-2024</w:t>
      </w:r>
      <w:r>
        <w:rPr>
          <w:sz w:val="28"/>
        </w:rPr>
        <w:t xml:space="preserve"> годы – 100 баллов.</w:t>
      </w:r>
    </w:p>
    <w:p w14:paraId="33010000">
      <w:pPr>
        <w:ind w:firstLine="567" w:left="0"/>
        <w:jc w:val="both"/>
        <w:rPr>
          <w:i w:val="1"/>
          <w:sz w:val="28"/>
        </w:rPr>
      </w:pPr>
    </w:p>
    <w:p w14:paraId="34010000">
      <w:pPr>
        <w:spacing w:after="200" w:line="276" w:lineRule="auto"/>
        <w:ind/>
        <w:rPr>
          <w:rFonts w:ascii="Calibri" w:hAnsi="Calibri"/>
          <w:sz w:val="22"/>
        </w:rPr>
      </w:pPr>
    </w:p>
    <w:p w14:paraId="35010000">
      <w:pPr>
        <w:ind w:firstLine="709" w:left="0"/>
        <w:jc w:val="both"/>
        <w:rPr>
          <w:b w:val="1"/>
          <w:sz w:val="28"/>
        </w:rPr>
      </w:pPr>
    </w:p>
    <w:p w14:paraId="36010000">
      <w:pPr>
        <w:pStyle w:val="Style_7"/>
        <w:widowControl w:val="1"/>
        <w:ind w:firstLine="690" w:left="0"/>
        <w:jc w:val="both"/>
        <w:rPr>
          <w:rFonts w:ascii="Times New Roman" w:hAnsi="Times New Roman"/>
          <w:b w:val="1"/>
          <w:sz w:val="28"/>
        </w:rPr>
      </w:pPr>
    </w:p>
    <w:p w14:paraId="37010000">
      <w:pPr>
        <w:pStyle w:val="Style_7"/>
        <w:widowControl w:val="1"/>
        <w:ind w:firstLine="690" w:left="0"/>
        <w:jc w:val="both"/>
        <w:rPr>
          <w:rFonts w:ascii="Times New Roman" w:hAnsi="Times New Roman"/>
          <w:b w:val="1"/>
          <w:sz w:val="28"/>
        </w:rPr>
      </w:pPr>
    </w:p>
    <w:p w14:paraId="38010000">
      <w:pPr>
        <w:ind w:firstLine="720" w:left="0"/>
        <w:jc w:val="both"/>
      </w:pPr>
      <w:r>
        <w:rPr>
          <w:sz w:val="28"/>
        </w:rPr>
        <w:t>Глава Администрации</w:t>
      </w:r>
    </w:p>
    <w:p w14:paraId="39010000">
      <w:pPr>
        <w:ind/>
        <w:jc w:val="both"/>
      </w:pPr>
      <w:r>
        <w:rPr>
          <w:sz w:val="28"/>
        </w:rPr>
        <w:t xml:space="preserve">          Песчанокопского района                                                    </w:t>
      </w:r>
      <w:r>
        <w:rPr>
          <w:sz w:val="28"/>
        </w:rPr>
        <w:t>И.</w:t>
      </w:r>
      <w:r>
        <w:rPr>
          <w:sz w:val="28"/>
        </w:rPr>
        <w:t>И. Апольский</w:t>
      </w:r>
    </w:p>
    <w:sectPr>
      <w:pgSz w:h="16838" w:orient="portrait" w:w="11906"/>
      <w:pgMar w:bottom="1134" w:footer="720" w:gutter="0" w:header="720" w:left="1134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rPr>
      <w:sz w:val="24"/>
    </w:rPr>
  </w:style>
  <w:style w:default="1" w:styleId="Style_8_ch" w:type="character">
    <w:name w:val="Normal"/>
    <w:link w:val="Style_8"/>
    <w:rPr>
      <w:sz w:val="24"/>
    </w:rPr>
  </w:style>
  <w:style w:styleId="Style_9" w:type="paragraph">
    <w:name w:val="WW-Absatz-Standardschriftart11"/>
    <w:link w:val="Style_9_ch"/>
  </w:style>
  <w:style w:styleId="Style_9_ch" w:type="character">
    <w:name w:val="WW-Absatz-Standardschriftart11"/>
    <w:link w:val="Style_9"/>
  </w:style>
  <w:style w:styleId="Style_10" w:type="paragraph">
    <w:name w:val="toc 2"/>
    <w:next w:val="Style_8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3" w:type="paragraph">
    <w:name w:val="Normal (Web)"/>
    <w:basedOn w:val="Style_8"/>
    <w:link w:val="Style_3_ch"/>
    <w:pPr>
      <w:spacing w:after="280" w:before="280"/>
      <w:ind/>
    </w:pPr>
  </w:style>
  <w:style w:styleId="Style_3_ch" w:type="character">
    <w:name w:val="Normal (Web)"/>
    <w:basedOn w:val="Style_8_ch"/>
    <w:link w:val="Style_3"/>
  </w:style>
  <w:style w:styleId="Style_11" w:type="paragraph">
    <w:name w:val="toc 4"/>
    <w:next w:val="Style_8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WW8Num2z4"/>
    <w:link w:val="Style_12_ch"/>
  </w:style>
  <w:style w:styleId="Style_12_ch" w:type="character">
    <w:name w:val="WW8Num2z4"/>
    <w:link w:val="Style_12"/>
  </w:style>
  <w:style w:styleId="Style_13" w:type="paragraph">
    <w:name w:val="toc 6"/>
    <w:next w:val="Style_8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8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WW8Num1z6"/>
    <w:link w:val="Style_15_ch"/>
  </w:style>
  <w:style w:styleId="Style_15_ch" w:type="character">
    <w:name w:val="WW8Num1z6"/>
    <w:link w:val="Style_15"/>
  </w:style>
  <w:style w:styleId="Style_16" w:type="paragraph">
    <w:name w:val="WW-Absatz-Standardschriftart111111111111"/>
    <w:link w:val="Style_16_ch"/>
  </w:style>
  <w:style w:styleId="Style_16_ch" w:type="character">
    <w:name w:val="WW-Absatz-Standardschriftart111111111111"/>
    <w:link w:val="Style_16"/>
  </w:style>
  <w:style w:styleId="Style_17" w:type="paragraph">
    <w:name w:val="WW8Num3z0"/>
    <w:link w:val="Style_17_ch"/>
  </w:style>
  <w:style w:styleId="Style_17_ch" w:type="character">
    <w:name w:val="WW8Num3z0"/>
    <w:link w:val="Style_17"/>
  </w:style>
  <w:style w:styleId="Style_18" w:type="paragraph">
    <w:name w:val="WW8Num2z6"/>
    <w:link w:val="Style_18_ch"/>
  </w:style>
  <w:style w:styleId="Style_18_ch" w:type="character">
    <w:name w:val="WW8Num2z6"/>
    <w:link w:val="Style_18"/>
  </w:style>
  <w:style w:styleId="Style_19" w:type="paragraph">
    <w:name w:val="WW-Absatz-Standardschriftart11111111"/>
    <w:link w:val="Style_19_ch"/>
  </w:style>
  <w:style w:styleId="Style_19_ch" w:type="character">
    <w:name w:val="WW-Absatz-Standardschriftart11111111"/>
    <w:link w:val="Style_19"/>
  </w:style>
  <w:style w:styleId="Style_20" w:type="paragraph">
    <w:name w:val="WW8Num3z4"/>
    <w:link w:val="Style_20_ch"/>
  </w:style>
  <w:style w:styleId="Style_20_ch" w:type="character">
    <w:name w:val="WW8Num3z4"/>
    <w:link w:val="Style_20"/>
  </w:style>
  <w:style w:styleId="Style_21" w:type="paragraph">
    <w:name w:val="heading 3"/>
    <w:next w:val="Style_8"/>
    <w:link w:val="Style_2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1_ch" w:type="character">
    <w:name w:val="heading 3"/>
    <w:link w:val="Style_21"/>
    <w:rPr>
      <w:rFonts w:ascii="XO Thames" w:hAnsi="XO Thames"/>
      <w:b w:val="1"/>
      <w:sz w:val="26"/>
    </w:rPr>
  </w:style>
  <w:style w:styleId="Style_22" w:type="paragraph">
    <w:name w:val="Основной шрифт абзаца4"/>
    <w:link w:val="Style_22_ch"/>
  </w:style>
  <w:style w:styleId="Style_22_ch" w:type="character">
    <w:name w:val="Основной шрифт абзаца4"/>
    <w:link w:val="Style_22"/>
  </w:style>
  <w:style w:styleId="Style_23" w:type="paragraph">
    <w:name w:val="Body Text Indent"/>
    <w:basedOn w:val="Style_8"/>
    <w:link w:val="Style_23_ch"/>
    <w:pPr>
      <w:numPr>
        <w:ilvl w:val="0"/>
        <w:numId w:val="0"/>
      </w:numPr>
      <w:spacing w:line="360" w:lineRule="auto"/>
      <w:ind w:firstLine="567" w:left="283" w:right="0"/>
      <w:jc w:val="both"/>
    </w:pPr>
    <w:rPr>
      <w:sz w:val="28"/>
    </w:rPr>
  </w:style>
  <w:style w:styleId="Style_23_ch" w:type="character">
    <w:name w:val="Body Text Indent"/>
    <w:basedOn w:val="Style_8_ch"/>
    <w:link w:val="Style_23"/>
    <w:rPr>
      <w:sz w:val="28"/>
    </w:rPr>
  </w:style>
  <w:style w:styleId="Style_24" w:type="paragraph">
    <w:name w:val="WW8Num1z4"/>
    <w:link w:val="Style_24_ch"/>
  </w:style>
  <w:style w:styleId="Style_24_ch" w:type="character">
    <w:name w:val="WW8Num1z4"/>
    <w:link w:val="Style_24"/>
  </w:style>
  <w:style w:styleId="Style_25" w:type="paragraph">
    <w:name w:val="WW-Absatz-Standardschriftart1111111"/>
    <w:link w:val="Style_25_ch"/>
  </w:style>
  <w:style w:styleId="Style_25_ch" w:type="character">
    <w:name w:val="WW-Absatz-Standardschriftart1111111"/>
    <w:link w:val="Style_25"/>
  </w:style>
  <w:style w:styleId="Style_26" w:type="paragraph">
    <w:name w:val="Символ нумерации"/>
    <w:link w:val="Style_26_ch"/>
    <w:rPr>
      <w:b w:val="1"/>
    </w:rPr>
  </w:style>
  <w:style w:styleId="Style_26_ch" w:type="character">
    <w:name w:val="Символ нумерации"/>
    <w:link w:val="Style_26"/>
    <w:rPr>
      <w:b w:val="1"/>
    </w:rPr>
  </w:style>
  <w:style w:styleId="Style_27" w:type="paragraph">
    <w:name w:val="Текст выноски Знак"/>
    <w:link w:val="Style_27_ch"/>
    <w:rPr>
      <w:rFonts w:ascii="Segoe UI" w:hAnsi="Segoe UI"/>
      <w:sz w:val="18"/>
    </w:rPr>
  </w:style>
  <w:style w:styleId="Style_27_ch" w:type="character">
    <w:name w:val="Текст выноски Знак"/>
    <w:link w:val="Style_27"/>
    <w:rPr>
      <w:rFonts w:ascii="Segoe UI" w:hAnsi="Segoe UI"/>
      <w:sz w:val="18"/>
    </w:rPr>
  </w:style>
  <w:style w:styleId="Style_28" w:type="paragraph">
    <w:name w:val="Основной шрифт абзаца1"/>
    <w:link w:val="Style_28_ch"/>
  </w:style>
  <w:style w:styleId="Style_28_ch" w:type="character">
    <w:name w:val="Основной шрифт абзаца1"/>
    <w:link w:val="Style_28"/>
  </w:style>
  <w:style w:styleId="Style_1" w:type="paragraph">
    <w:name w:val="Style3"/>
    <w:basedOn w:val="Style_8"/>
    <w:link w:val="Style_1_ch"/>
    <w:pPr>
      <w:widowControl w:val="0"/>
      <w:spacing w:line="324" w:lineRule="exact"/>
      <w:ind w:firstLine="619" w:left="0" w:right="0"/>
      <w:jc w:val="both"/>
    </w:pPr>
    <w:rPr>
      <w:sz w:val="24"/>
    </w:rPr>
  </w:style>
  <w:style w:styleId="Style_1_ch" w:type="character">
    <w:name w:val="Style3"/>
    <w:basedOn w:val="Style_8_ch"/>
    <w:link w:val="Style_1"/>
    <w:rPr>
      <w:sz w:val="24"/>
    </w:rPr>
  </w:style>
  <w:style w:styleId="Style_29" w:type="paragraph">
    <w:name w:val="Заголовок"/>
    <w:basedOn w:val="Style_8"/>
    <w:next w:val="Style_6"/>
    <w:link w:val="Style_29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29_ch" w:type="character">
    <w:name w:val="Заголовок"/>
    <w:basedOn w:val="Style_8_ch"/>
    <w:link w:val="Style_29"/>
    <w:rPr>
      <w:rFonts w:ascii="Liberation Sans" w:hAnsi="Liberation Sans"/>
      <w:sz w:val="28"/>
    </w:rPr>
  </w:style>
  <w:style w:styleId="Style_30" w:type="paragraph">
    <w:name w:val="WW8Num2z2"/>
    <w:link w:val="Style_30_ch"/>
  </w:style>
  <w:style w:styleId="Style_30_ch" w:type="character">
    <w:name w:val="WW8Num2z2"/>
    <w:link w:val="Style_30"/>
  </w:style>
  <w:style w:styleId="Style_31" w:type="paragraph">
    <w:name w:val="Balloon Text"/>
    <w:basedOn w:val="Style_8"/>
    <w:link w:val="Style_31_ch"/>
    <w:rPr>
      <w:rFonts w:ascii="Segoe UI" w:hAnsi="Segoe UI"/>
      <w:sz w:val="18"/>
    </w:rPr>
  </w:style>
  <w:style w:styleId="Style_31_ch" w:type="character">
    <w:name w:val="Balloon Text"/>
    <w:basedOn w:val="Style_8_ch"/>
    <w:link w:val="Style_31"/>
    <w:rPr>
      <w:rFonts w:ascii="Segoe UI" w:hAnsi="Segoe UI"/>
      <w:sz w:val="18"/>
    </w:rPr>
  </w:style>
  <w:style w:styleId="Style_32" w:type="paragraph">
    <w:name w:val="List"/>
    <w:basedOn w:val="Style_6"/>
    <w:link w:val="Style_32_ch"/>
    <w:rPr>
      <w:rFonts w:ascii="Arial" w:hAnsi="Arial"/>
    </w:rPr>
  </w:style>
  <w:style w:styleId="Style_32_ch" w:type="character">
    <w:name w:val="List"/>
    <w:basedOn w:val="Style_6_ch"/>
    <w:link w:val="Style_32"/>
    <w:rPr>
      <w:rFonts w:ascii="Arial" w:hAnsi="Arial"/>
    </w:rPr>
  </w:style>
  <w:style w:styleId="Style_33" w:type="paragraph">
    <w:name w:val="Основной текст с отступом 21"/>
    <w:basedOn w:val="Style_8"/>
    <w:link w:val="Style_33_ch"/>
    <w:pPr>
      <w:spacing w:after="0" w:before="0" w:line="240" w:lineRule="auto"/>
      <w:ind w:firstLine="720" w:left="0" w:right="0"/>
      <w:jc w:val="both"/>
    </w:pPr>
    <w:rPr>
      <w:rFonts w:ascii="Times New Roman" w:hAnsi="Times New Roman"/>
      <w:b w:val="1"/>
      <w:sz w:val="30"/>
    </w:rPr>
  </w:style>
  <w:style w:styleId="Style_33_ch" w:type="character">
    <w:name w:val="Основной текст с отступом 21"/>
    <w:basedOn w:val="Style_8_ch"/>
    <w:link w:val="Style_33"/>
    <w:rPr>
      <w:rFonts w:ascii="Times New Roman" w:hAnsi="Times New Roman"/>
      <w:b w:val="1"/>
      <w:sz w:val="30"/>
    </w:rPr>
  </w:style>
  <w:style w:styleId="Style_34" w:type="paragraph">
    <w:name w:val="WW-Absatz-Standardschriftart11111111111"/>
    <w:link w:val="Style_34_ch"/>
  </w:style>
  <w:style w:styleId="Style_34_ch" w:type="character">
    <w:name w:val="WW-Absatz-Standardschriftart11111111111"/>
    <w:link w:val="Style_34"/>
  </w:style>
  <w:style w:styleId="Style_35" w:type="paragraph">
    <w:name w:val="WW8Num1z7"/>
    <w:link w:val="Style_35_ch"/>
  </w:style>
  <w:style w:styleId="Style_35_ch" w:type="character">
    <w:name w:val="WW8Num1z7"/>
    <w:link w:val="Style_35"/>
  </w:style>
  <w:style w:styleId="Style_36" w:type="paragraph">
    <w:name w:val="WW8Num1z5"/>
    <w:link w:val="Style_36_ch"/>
  </w:style>
  <w:style w:styleId="Style_36_ch" w:type="character">
    <w:name w:val="WW8Num1z5"/>
    <w:link w:val="Style_36"/>
  </w:style>
  <w:style w:styleId="Style_37" w:type="paragraph">
    <w:name w:val="Указатель4"/>
    <w:basedOn w:val="Style_8"/>
    <w:link w:val="Style_37_ch"/>
  </w:style>
  <w:style w:styleId="Style_37_ch" w:type="character">
    <w:name w:val="Указатель4"/>
    <w:basedOn w:val="Style_8_ch"/>
    <w:link w:val="Style_37"/>
  </w:style>
  <w:style w:styleId="Style_38" w:type="paragraph">
    <w:name w:val="WW8Num2z5"/>
    <w:link w:val="Style_38_ch"/>
  </w:style>
  <w:style w:styleId="Style_38_ch" w:type="character">
    <w:name w:val="WW8Num2z5"/>
    <w:link w:val="Style_38"/>
  </w:style>
  <w:style w:styleId="Style_39" w:type="paragraph">
    <w:name w:val="Заголовок1"/>
    <w:basedOn w:val="Style_8"/>
    <w:next w:val="Style_6"/>
    <w:link w:val="Style_39_ch"/>
    <w:pPr>
      <w:keepNext w:val="1"/>
      <w:spacing w:after="120" w:before="240"/>
      <w:ind/>
    </w:pPr>
    <w:rPr>
      <w:rFonts w:ascii="Arial" w:hAnsi="Arial"/>
      <w:sz w:val="28"/>
    </w:rPr>
  </w:style>
  <w:style w:styleId="Style_39_ch" w:type="character">
    <w:name w:val="Заголовок1"/>
    <w:basedOn w:val="Style_8_ch"/>
    <w:link w:val="Style_39"/>
    <w:rPr>
      <w:rFonts w:ascii="Arial" w:hAnsi="Arial"/>
      <w:sz w:val="28"/>
    </w:rPr>
  </w:style>
  <w:style w:styleId="Style_40" w:type="paragraph">
    <w:name w:val="WW8Num3z3"/>
    <w:link w:val="Style_40_ch"/>
  </w:style>
  <w:style w:styleId="Style_40_ch" w:type="character">
    <w:name w:val="WW8Num3z3"/>
    <w:link w:val="Style_40"/>
  </w:style>
  <w:style w:styleId="Style_41" w:type="paragraph">
    <w:name w:val="Указатель3"/>
    <w:basedOn w:val="Style_8"/>
    <w:link w:val="Style_41_ch"/>
  </w:style>
  <w:style w:styleId="Style_41_ch" w:type="character">
    <w:name w:val="Указатель3"/>
    <w:basedOn w:val="Style_8_ch"/>
    <w:link w:val="Style_41"/>
  </w:style>
  <w:style w:styleId="Style_42" w:type="paragraph">
    <w:name w:val="WW8Num3z2"/>
    <w:link w:val="Style_42_ch"/>
  </w:style>
  <w:style w:styleId="Style_42_ch" w:type="character">
    <w:name w:val="WW8Num3z2"/>
    <w:link w:val="Style_42"/>
  </w:style>
  <w:style w:styleId="Style_43" w:type="paragraph">
    <w:name w:val="WW-Absatz-Standardschriftart111111"/>
    <w:link w:val="Style_43_ch"/>
  </w:style>
  <w:style w:styleId="Style_43_ch" w:type="character">
    <w:name w:val="WW-Absatz-Standardschriftart111111"/>
    <w:link w:val="Style_43"/>
  </w:style>
  <w:style w:styleId="Style_44" w:type="paragraph">
    <w:name w:val="Название3"/>
    <w:basedOn w:val="Style_8"/>
    <w:link w:val="Style_44_ch"/>
    <w:pPr>
      <w:spacing w:after="120" w:before="120"/>
      <w:ind/>
    </w:pPr>
    <w:rPr>
      <w:i w:val="1"/>
      <w:sz w:val="24"/>
    </w:rPr>
  </w:style>
  <w:style w:styleId="Style_44_ch" w:type="character">
    <w:name w:val="Название3"/>
    <w:basedOn w:val="Style_8_ch"/>
    <w:link w:val="Style_44"/>
    <w:rPr>
      <w:i w:val="1"/>
      <w:sz w:val="24"/>
    </w:rPr>
  </w:style>
  <w:style w:styleId="Style_45" w:type="paragraph">
    <w:name w:val="toc 3"/>
    <w:next w:val="Style_8"/>
    <w:link w:val="Style_4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45_ch" w:type="character">
    <w:name w:val="toc 3"/>
    <w:link w:val="Style_45"/>
    <w:rPr>
      <w:rFonts w:ascii="XO Thames" w:hAnsi="XO Thames"/>
      <w:sz w:val="28"/>
    </w:rPr>
  </w:style>
  <w:style w:styleId="Style_7" w:type="paragraph">
    <w:name w:val="ConsPlusNonformat"/>
    <w:link w:val="Style_7_ch"/>
    <w:pPr>
      <w:widowControl w:val="0"/>
      <w:ind/>
    </w:pPr>
    <w:rPr>
      <w:rFonts w:ascii="Courier New" w:hAnsi="Courier New"/>
    </w:rPr>
  </w:style>
  <w:style w:styleId="Style_7_ch" w:type="character">
    <w:name w:val="ConsPlusNonformat"/>
    <w:link w:val="Style_7"/>
    <w:rPr>
      <w:rFonts w:ascii="Courier New" w:hAnsi="Courier New"/>
    </w:rPr>
  </w:style>
  <w:style w:styleId="Style_46" w:type="paragraph">
    <w:name w:val="Указатель2"/>
    <w:basedOn w:val="Style_8"/>
    <w:link w:val="Style_46_ch"/>
    <w:rPr>
      <w:rFonts w:ascii="Arial" w:hAnsi="Arial"/>
    </w:rPr>
  </w:style>
  <w:style w:styleId="Style_46_ch" w:type="character">
    <w:name w:val="Указатель2"/>
    <w:basedOn w:val="Style_8_ch"/>
    <w:link w:val="Style_46"/>
    <w:rPr>
      <w:rFonts w:ascii="Arial" w:hAnsi="Arial"/>
    </w:rPr>
  </w:style>
  <w:style w:styleId="Style_47" w:type="paragraph">
    <w:name w:val="Верхний колонтитул Знак"/>
    <w:link w:val="Style_47_ch"/>
  </w:style>
  <w:style w:styleId="Style_47_ch" w:type="character">
    <w:name w:val="Верхний колонтитул Знак"/>
    <w:link w:val="Style_47"/>
  </w:style>
  <w:style w:styleId="Style_48" w:type="paragraph">
    <w:name w:val="WW8Num3z1"/>
    <w:link w:val="Style_48_ch"/>
  </w:style>
  <w:style w:styleId="Style_48_ch" w:type="character">
    <w:name w:val="WW8Num3z1"/>
    <w:link w:val="Style_48"/>
  </w:style>
  <w:style w:styleId="Style_49" w:type="paragraph">
    <w:name w:val="WW-Absatz-Standardschriftart1111111111"/>
    <w:link w:val="Style_49_ch"/>
  </w:style>
  <w:style w:styleId="Style_49_ch" w:type="character">
    <w:name w:val="WW-Absatz-Standardschriftart1111111111"/>
    <w:link w:val="Style_49"/>
  </w:style>
  <w:style w:styleId="Style_4" w:type="paragraph">
    <w:name w:val="header"/>
    <w:basedOn w:val="Style_8"/>
    <w:link w:val="Style_4_ch"/>
    <w:pPr>
      <w:tabs>
        <w:tab w:leader="none" w:pos="4536" w:val="center"/>
        <w:tab w:leader="none" w:pos="9072" w:val="right"/>
      </w:tabs>
      <w:ind/>
    </w:pPr>
    <w:rPr>
      <w:sz w:val="20"/>
    </w:rPr>
  </w:style>
  <w:style w:styleId="Style_4_ch" w:type="character">
    <w:name w:val="header"/>
    <w:basedOn w:val="Style_8_ch"/>
    <w:link w:val="Style_4"/>
    <w:rPr>
      <w:sz w:val="20"/>
    </w:rPr>
  </w:style>
  <w:style w:styleId="Style_50" w:type="paragraph">
    <w:name w:val="WW8Num1z2"/>
    <w:link w:val="Style_50_ch"/>
  </w:style>
  <w:style w:styleId="Style_50_ch" w:type="character">
    <w:name w:val="WW8Num1z2"/>
    <w:link w:val="Style_50"/>
  </w:style>
  <w:style w:styleId="Style_51" w:type="paragraph">
    <w:name w:val="heading 5"/>
    <w:next w:val="Style_8"/>
    <w:link w:val="Style_5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51_ch" w:type="character">
    <w:name w:val="heading 5"/>
    <w:link w:val="Style_51"/>
    <w:rPr>
      <w:rFonts w:ascii="XO Thames" w:hAnsi="XO Thames"/>
      <w:b w:val="1"/>
      <w:sz w:val="22"/>
    </w:rPr>
  </w:style>
  <w:style w:styleId="Style_52" w:type="paragraph">
    <w:name w:val="WW8Num3z6"/>
    <w:link w:val="Style_52_ch"/>
  </w:style>
  <w:style w:styleId="Style_52_ch" w:type="character">
    <w:name w:val="WW8Num3z6"/>
    <w:link w:val="Style_52"/>
  </w:style>
  <w:style w:styleId="Style_53" w:type="paragraph">
    <w:name w:val="WW8Num3z5"/>
    <w:link w:val="Style_53_ch"/>
  </w:style>
  <w:style w:styleId="Style_53_ch" w:type="character">
    <w:name w:val="WW8Num3z5"/>
    <w:link w:val="Style_53"/>
  </w:style>
  <w:style w:styleId="Style_54" w:type="paragraph">
    <w:name w:val="heading 1"/>
    <w:next w:val="Style_8"/>
    <w:link w:val="Style_5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54_ch" w:type="character">
    <w:name w:val="heading 1"/>
    <w:link w:val="Style_54"/>
    <w:rPr>
      <w:rFonts w:ascii="XO Thames" w:hAnsi="XO Thames"/>
      <w:b w:val="1"/>
      <w:sz w:val="32"/>
    </w:rPr>
  </w:style>
  <w:style w:styleId="Style_2" w:type="paragraph">
    <w:name w:val="Нормальный"/>
    <w:link w:val="Style_2_ch"/>
    <w:pPr>
      <w:widowControl w:val="0"/>
      <w:ind/>
    </w:pPr>
  </w:style>
  <w:style w:styleId="Style_2_ch" w:type="character">
    <w:name w:val="Нормальный"/>
    <w:link w:val="Style_2"/>
  </w:style>
  <w:style w:styleId="Style_55" w:type="paragraph">
    <w:name w:val="Основной шрифт абзаца2"/>
    <w:link w:val="Style_55_ch"/>
  </w:style>
  <w:style w:styleId="Style_55_ch" w:type="character">
    <w:name w:val="Основной шрифт абзаца2"/>
    <w:link w:val="Style_55"/>
  </w:style>
  <w:style w:styleId="Style_56" w:type="paragraph">
    <w:name w:val="WW8Num2z7"/>
    <w:link w:val="Style_56_ch"/>
  </w:style>
  <w:style w:styleId="Style_56_ch" w:type="character">
    <w:name w:val="WW8Num2z7"/>
    <w:link w:val="Style_56"/>
  </w:style>
  <w:style w:styleId="Style_57" w:type="paragraph">
    <w:name w:val="Название1"/>
    <w:basedOn w:val="Style_8"/>
    <w:link w:val="Style_57_ch"/>
    <w:pPr>
      <w:spacing w:after="120" w:before="120"/>
      <w:ind/>
    </w:pPr>
    <w:rPr>
      <w:rFonts w:ascii="Arial" w:hAnsi="Arial"/>
      <w:i w:val="1"/>
      <w:sz w:val="20"/>
    </w:rPr>
  </w:style>
  <w:style w:styleId="Style_57_ch" w:type="character">
    <w:name w:val="Название1"/>
    <w:basedOn w:val="Style_8_ch"/>
    <w:link w:val="Style_57"/>
    <w:rPr>
      <w:rFonts w:ascii="Arial" w:hAnsi="Arial"/>
      <w:i w:val="1"/>
      <w:sz w:val="20"/>
    </w:rPr>
  </w:style>
  <w:style w:styleId="Style_6" w:type="paragraph">
    <w:name w:val="Body Text"/>
    <w:basedOn w:val="Style_8"/>
    <w:link w:val="Style_6_ch"/>
    <w:pPr>
      <w:spacing w:after="120" w:before="0"/>
      <w:ind/>
    </w:pPr>
  </w:style>
  <w:style w:styleId="Style_6_ch" w:type="character">
    <w:name w:val="Body Text"/>
    <w:basedOn w:val="Style_8_ch"/>
    <w:link w:val="Style_6"/>
  </w:style>
  <w:style w:styleId="Style_58" w:type="paragraph">
    <w:name w:val="WW-Absatz-Standardschriftart"/>
    <w:link w:val="Style_58_ch"/>
  </w:style>
  <w:style w:styleId="Style_58_ch" w:type="character">
    <w:name w:val="WW-Absatz-Standardschriftart"/>
    <w:link w:val="Style_58"/>
  </w:style>
  <w:style w:styleId="Style_59" w:type="paragraph">
    <w:name w:val="WW8Num2z8"/>
    <w:link w:val="Style_59_ch"/>
  </w:style>
  <w:style w:styleId="Style_59_ch" w:type="character">
    <w:name w:val="WW8Num2z8"/>
    <w:link w:val="Style_59"/>
  </w:style>
  <w:style w:styleId="Style_60" w:type="paragraph">
    <w:name w:val="WW-Absatz-Standardschriftart1"/>
    <w:link w:val="Style_60_ch"/>
  </w:style>
  <w:style w:styleId="Style_60_ch" w:type="character">
    <w:name w:val="WW-Absatz-Standardschriftart1"/>
    <w:link w:val="Style_60"/>
  </w:style>
  <w:style w:styleId="Style_61" w:type="paragraph">
    <w:name w:val="Hyperlink"/>
    <w:link w:val="Style_61_ch"/>
    <w:rPr>
      <w:color w:val="000080"/>
      <w:u w:val="single"/>
    </w:rPr>
  </w:style>
  <w:style w:styleId="Style_61_ch" w:type="character">
    <w:name w:val="Hyperlink"/>
    <w:link w:val="Style_61"/>
    <w:rPr>
      <w:color w:val="000080"/>
      <w:u w:val="single"/>
    </w:rPr>
  </w:style>
  <w:style w:styleId="Style_62" w:type="paragraph">
    <w:name w:val="Footnote"/>
    <w:link w:val="Style_62_ch"/>
    <w:pPr>
      <w:ind w:firstLine="851" w:left="0"/>
      <w:jc w:val="both"/>
    </w:pPr>
    <w:rPr>
      <w:rFonts w:ascii="XO Thames" w:hAnsi="XO Thames"/>
      <w:sz w:val="22"/>
    </w:rPr>
  </w:style>
  <w:style w:styleId="Style_62_ch" w:type="character">
    <w:name w:val="Footnote"/>
    <w:link w:val="Style_62"/>
    <w:rPr>
      <w:rFonts w:ascii="XO Thames" w:hAnsi="XO Thames"/>
      <w:sz w:val="22"/>
    </w:rPr>
  </w:style>
  <w:style w:styleId="Style_63" w:type="paragraph">
    <w:name w:val="Указатель5"/>
    <w:basedOn w:val="Style_8"/>
    <w:link w:val="Style_63_ch"/>
  </w:style>
  <w:style w:styleId="Style_63_ch" w:type="character">
    <w:name w:val="Указатель5"/>
    <w:basedOn w:val="Style_8_ch"/>
    <w:link w:val="Style_63"/>
  </w:style>
  <w:style w:styleId="Style_64" w:type="paragraph">
    <w:name w:val="toc 1"/>
    <w:next w:val="Style_8"/>
    <w:link w:val="Style_6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64_ch" w:type="character">
    <w:name w:val="toc 1"/>
    <w:link w:val="Style_64"/>
    <w:rPr>
      <w:rFonts w:ascii="XO Thames" w:hAnsi="XO Thames"/>
      <w:b w:val="1"/>
      <w:sz w:val="28"/>
    </w:rPr>
  </w:style>
  <w:style w:styleId="Style_65" w:type="paragraph">
    <w:name w:val="Absatz-Standardschriftart"/>
    <w:link w:val="Style_65_ch"/>
  </w:style>
  <w:style w:styleId="Style_65_ch" w:type="character">
    <w:name w:val="Absatz-Standardschriftart"/>
    <w:link w:val="Style_65"/>
  </w:style>
  <w:style w:styleId="Style_66" w:type="paragraph">
    <w:name w:val="Header and Footer"/>
    <w:link w:val="Style_66_ch"/>
    <w:pPr>
      <w:spacing w:line="240" w:lineRule="auto"/>
      <w:ind/>
      <w:jc w:val="both"/>
    </w:pPr>
    <w:rPr>
      <w:rFonts w:ascii="XO Thames" w:hAnsi="XO Thames"/>
      <w:sz w:val="20"/>
    </w:rPr>
  </w:style>
  <w:style w:styleId="Style_66_ch" w:type="character">
    <w:name w:val="Header and Footer"/>
    <w:link w:val="Style_66"/>
    <w:rPr>
      <w:rFonts w:ascii="XO Thames" w:hAnsi="XO Thames"/>
      <w:sz w:val="20"/>
    </w:rPr>
  </w:style>
  <w:style w:styleId="Style_67" w:type="paragraph">
    <w:name w:val="Основной шрифт абзаца3"/>
    <w:link w:val="Style_67_ch"/>
  </w:style>
  <w:style w:styleId="Style_67_ch" w:type="character">
    <w:name w:val="Основной шрифт абзаца3"/>
    <w:link w:val="Style_67"/>
  </w:style>
  <w:style w:styleId="Style_68" w:type="paragraph">
    <w:name w:val="WW8Num1z3"/>
    <w:link w:val="Style_68_ch"/>
    <w:rPr>
      <w:b w:val="1"/>
    </w:rPr>
  </w:style>
  <w:style w:styleId="Style_68_ch" w:type="character">
    <w:name w:val="WW8Num1z3"/>
    <w:link w:val="Style_68"/>
    <w:rPr>
      <w:b w:val="1"/>
    </w:rPr>
  </w:style>
  <w:style w:styleId="Style_69" w:type="paragraph">
    <w:name w:val="Название4"/>
    <w:basedOn w:val="Style_8"/>
    <w:link w:val="Style_69_ch"/>
    <w:pPr>
      <w:spacing w:after="120" w:before="120"/>
      <w:ind/>
    </w:pPr>
    <w:rPr>
      <w:i w:val="1"/>
      <w:sz w:val="24"/>
    </w:rPr>
  </w:style>
  <w:style w:styleId="Style_69_ch" w:type="character">
    <w:name w:val="Название4"/>
    <w:basedOn w:val="Style_8_ch"/>
    <w:link w:val="Style_69"/>
    <w:rPr>
      <w:i w:val="1"/>
      <w:sz w:val="24"/>
    </w:rPr>
  </w:style>
  <w:style w:styleId="Style_70" w:type="paragraph">
    <w:name w:val="Font Style28"/>
    <w:link w:val="Style_70_ch"/>
    <w:rPr>
      <w:rFonts w:ascii="Times New Roman" w:hAnsi="Times New Roman"/>
      <w:sz w:val="14"/>
    </w:rPr>
  </w:style>
  <w:style w:styleId="Style_70_ch" w:type="character">
    <w:name w:val="Font Style28"/>
    <w:link w:val="Style_70"/>
    <w:rPr>
      <w:rFonts w:ascii="Times New Roman" w:hAnsi="Times New Roman"/>
      <w:sz w:val="14"/>
    </w:rPr>
  </w:style>
  <w:style w:styleId="Style_71" w:type="paragraph">
    <w:name w:val="WW-Absatz-Standardschriftart1111111111111"/>
    <w:link w:val="Style_71_ch"/>
  </w:style>
  <w:style w:styleId="Style_71_ch" w:type="character">
    <w:name w:val="WW-Absatz-Standardschriftart1111111111111"/>
    <w:link w:val="Style_71"/>
  </w:style>
  <w:style w:styleId="Style_72" w:type="paragraph">
    <w:name w:val="WW8Num1z8"/>
    <w:link w:val="Style_72_ch"/>
  </w:style>
  <w:style w:styleId="Style_72_ch" w:type="character">
    <w:name w:val="WW8Num1z8"/>
    <w:link w:val="Style_72"/>
  </w:style>
  <w:style w:styleId="Style_73" w:type="paragraph">
    <w:name w:val="toc 9"/>
    <w:next w:val="Style_8"/>
    <w:link w:val="Style_7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73_ch" w:type="character">
    <w:name w:val="toc 9"/>
    <w:link w:val="Style_73"/>
    <w:rPr>
      <w:rFonts w:ascii="XO Thames" w:hAnsi="XO Thames"/>
      <w:sz w:val="28"/>
    </w:rPr>
  </w:style>
  <w:style w:styleId="Style_74" w:type="paragraph">
    <w:name w:val="WW8Num1z1"/>
    <w:link w:val="Style_74_ch"/>
  </w:style>
  <w:style w:styleId="Style_74_ch" w:type="character">
    <w:name w:val="WW8Num1z1"/>
    <w:link w:val="Style_74"/>
  </w:style>
  <w:style w:styleId="Style_75" w:type="paragraph">
    <w:name w:val="Маркеры списка"/>
    <w:link w:val="Style_75_ch"/>
    <w:rPr>
      <w:rFonts w:ascii="OpenSymbol" w:hAnsi="OpenSymbol"/>
    </w:rPr>
  </w:style>
  <w:style w:styleId="Style_75_ch" w:type="character">
    <w:name w:val="Маркеры списка"/>
    <w:link w:val="Style_75"/>
    <w:rPr>
      <w:rFonts w:ascii="OpenSymbol" w:hAnsi="OpenSymbol"/>
    </w:rPr>
  </w:style>
  <w:style w:styleId="Style_76" w:type="paragraph">
    <w:name w:val="WW8Num2z3"/>
    <w:link w:val="Style_76_ch"/>
  </w:style>
  <w:style w:styleId="Style_76_ch" w:type="character">
    <w:name w:val="WW8Num2z3"/>
    <w:link w:val="Style_76"/>
  </w:style>
  <w:style w:styleId="Style_77" w:type="paragraph">
    <w:name w:val="Указатель6"/>
    <w:basedOn w:val="Style_8"/>
    <w:link w:val="Style_77_ch"/>
  </w:style>
  <w:style w:styleId="Style_77_ch" w:type="character">
    <w:name w:val="Указатель6"/>
    <w:basedOn w:val="Style_8_ch"/>
    <w:link w:val="Style_77"/>
  </w:style>
  <w:style w:styleId="Style_78" w:type="paragraph">
    <w:name w:val="toc 8"/>
    <w:next w:val="Style_8"/>
    <w:link w:val="Style_7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78_ch" w:type="character">
    <w:name w:val="toc 8"/>
    <w:link w:val="Style_78"/>
    <w:rPr>
      <w:rFonts w:ascii="XO Thames" w:hAnsi="XO Thames"/>
      <w:sz w:val="28"/>
    </w:rPr>
  </w:style>
  <w:style w:styleId="Style_79" w:type="paragraph">
    <w:name w:val="Default Paragraph Font"/>
    <w:link w:val="Style_79_ch"/>
  </w:style>
  <w:style w:styleId="Style_79_ch" w:type="character">
    <w:name w:val="Default Paragraph Font"/>
    <w:link w:val="Style_79"/>
  </w:style>
  <w:style w:styleId="Style_80" w:type="paragraph">
    <w:name w:val="caption"/>
    <w:basedOn w:val="Style_8"/>
    <w:link w:val="Style_80_ch"/>
    <w:pPr>
      <w:spacing w:after="120" w:before="120"/>
      <w:ind/>
    </w:pPr>
    <w:rPr>
      <w:i w:val="1"/>
      <w:sz w:val="24"/>
    </w:rPr>
  </w:style>
  <w:style w:styleId="Style_80_ch" w:type="character">
    <w:name w:val="caption"/>
    <w:basedOn w:val="Style_8_ch"/>
    <w:link w:val="Style_80"/>
    <w:rPr>
      <w:i w:val="1"/>
      <w:sz w:val="24"/>
    </w:rPr>
  </w:style>
  <w:style w:styleId="Style_81" w:type="paragraph">
    <w:name w:val="WW8Num1z0"/>
    <w:link w:val="Style_81_ch"/>
  </w:style>
  <w:style w:styleId="Style_81_ch" w:type="character">
    <w:name w:val="WW8Num1z0"/>
    <w:link w:val="Style_81"/>
  </w:style>
  <w:style w:styleId="Style_82" w:type="paragraph">
    <w:name w:val="toc 5"/>
    <w:next w:val="Style_8"/>
    <w:link w:val="Style_8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82_ch" w:type="character">
    <w:name w:val="toc 5"/>
    <w:link w:val="Style_82"/>
    <w:rPr>
      <w:rFonts w:ascii="XO Thames" w:hAnsi="XO Thames"/>
      <w:sz w:val="28"/>
    </w:rPr>
  </w:style>
  <w:style w:styleId="Style_83" w:type="paragraph">
    <w:name w:val="Основной текст с отступом 22"/>
    <w:basedOn w:val="Style_8"/>
    <w:link w:val="Style_83_ch"/>
    <w:pPr>
      <w:spacing w:line="360" w:lineRule="auto"/>
      <w:ind w:firstLine="709" w:left="0" w:right="0"/>
      <w:jc w:val="both"/>
    </w:pPr>
    <w:rPr>
      <w:sz w:val="28"/>
    </w:rPr>
  </w:style>
  <w:style w:styleId="Style_83_ch" w:type="character">
    <w:name w:val="Основной текст с отступом 22"/>
    <w:basedOn w:val="Style_8_ch"/>
    <w:link w:val="Style_83"/>
    <w:rPr>
      <w:sz w:val="28"/>
    </w:rPr>
  </w:style>
  <w:style w:styleId="Style_84" w:type="paragraph">
    <w:name w:val="Основной шрифт абзаца6"/>
    <w:link w:val="Style_84_ch"/>
  </w:style>
  <w:style w:styleId="Style_84_ch" w:type="character">
    <w:name w:val="Основной шрифт абзаца6"/>
    <w:link w:val="Style_84"/>
  </w:style>
  <w:style w:styleId="Style_85" w:type="paragraph">
    <w:name w:val="WW-Absatz-Standardschriftart111111111"/>
    <w:link w:val="Style_85_ch"/>
  </w:style>
  <w:style w:styleId="Style_85_ch" w:type="character">
    <w:name w:val="WW-Absatz-Standardschriftart111111111"/>
    <w:link w:val="Style_85"/>
  </w:style>
  <w:style w:styleId="Style_86" w:type="paragraph">
    <w:name w:val="No Spacing"/>
    <w:link w:val="Style_86_ch"/>
    <w:rPr>
      <w:rFonts w:ascii="Calibri" w:hAnsi="Calibri"/>
      <w:sz w:val="22"/>
    </w:rPr>
  </w:style>
  <w:style w:styleId="Style_86_ch" w:type="character">
    <w:name w:val="No Spacing"/>
    <w:link w:val="Style_86"/>
    <w:rPr>
      <w:rFonts w:ascii="Calibri" w:hAnsi="Calibri"/>
      <w:sz w:val="22"/>
    </w:rPr>
  </w:style>
  <w:style w:styleId="Style_5" w:type="paragraph">
    <w:name w:val="ConsPlusTitle"/>
    <w:link w:val="Style_5_ch"/>
    <w:pPr>
      <w:widowControl w:val="0"/>
      <w:ind/>
    </w:pPr>
    <w:rPr>
      <w:b w:val="1"/>
      <w:sz w:val="28"/>
    </w:rPr>
  </w:style>
  <w:style w:styleId="Style_5_ch" w:type="character">
    <w:name w:val="ConsPlusTitle"/>
    <w:link w:val="Style_5"/>
    <w:rPr>
      <w:b w:val="1"/>
      <w:sz w:val="28"/>
    </w:rPr>
  </w:style>
  <w:style w:styleId="Style_87" w:type="paragraph">
    <w:name w:val="WW-Absatz-Standardschriftart1111"/>
    <w:link w:val="Style_87_ch"/>
  </w:style>
  <w:style w:styleId="Style_87_ch" w:type="character">
    <w:name w:val="WW-Absatz-Standardschriftart1111"/>
    <w:link w:val="Style_87"/>
  </w:style>
  <w:style w:styleId="Style_88" w:type="paragraph">
    <w:name w:val="Subtitle"/>
    <w:next w:val="Style_8"/>
    <w:link w:val="Style_8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88_ch" w:type="character">
    <w:name w:val="Subtitle"/>
    <w:link w:val="Style_88"/>
    <w:rPr>
      <w:rFonts w:ascii="XO Thames" w:hAnsi="XO Thames"/>
      <w:i w:val="1"/>
      <w:sz w:val="24"/>
    </w:rPr>
  </w:style>
  <w:style w:styleId="Style_89" w:type="paragraph">
    <w:name w:val="WW-Absatz-Standardschriftart111"/>
    <w:link w:val="Style_89_ch"/>
  </w:style>
  <w:style w:styleId="Style_89_ch" w:type="character">
    <w:name w:val="WW-Absatz-Standardschriftart111"/>
    <w:link w:val="Style_89"/>
  </w:style>
  <w:style w:styleId="Style_90" w:type="paragraph">
    <w:name w:val="WW8Num2z0"/>
    <w:link w:val="Style_90_ch"/>
  </w:style>
  <w:style w:styleId="Style_90_ch" w:type="character">
    <w:name w:val="WW8Num2z0"/>
    <w:link w:val="Style_90"/>
  </w:style>
  <w:style w:styleId="Style_91" w:type="paragraph">
    <w:name w:val="Основной шрифт абзаца5"/>
    <w:link w:val="Style_91_ch"/>
  </w:style>
  <w:style w:styleId="Style_91_ch" w:type="character">
    <w:name w:val="Основной шрифт абзаца5"/>
    <w:link w:val="Style_91"/>
  </w:style>
  <w:style w:styleId="Style_92" w:type="paragraph">
    <w:name w:val="Title"/>
    <w:next w:val="Style_8"/>
    <w:link w:val="Style_9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92_ch" w:type="character">
    <w:name w:val="Title"/>
    <w:link w:val="Style_92"/>
    <w:rPr>
      <w:rFonts w:ascii="XO Thames" w:hAnsi="XO Thames"/>
      <w:b w:val="1"/>
      <w:caps w:val="1"/>
      <w:sz w:val="40"/>
    </w:rPr>
  </w:style>
  <w:style w:styleId="Style_93" w:type="paragraph">
    <w:name w:val="heading 4"/>
    <w:next w:val="Style_8"/>
    <w:link w:val="Style_9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93_ch" w:type="character">
    <w:name w:val="heading 4"/>
    <w:link w:val="Style_93"/>
    <w:rPr>
      <w:rFonts w:ascii="XO Thames" w:hAnsi="XO Thames"/>
      <w:b w:val="1"/>
      <w:sz w:val="24"/>
    </w:rPr>
  </w:style>
  <w:style w:styleId="Style_94" w:type="paragraph">
    <w:name w:val="Указатель1"/>
    <w:basedOn w:val="Style_8"/>
    <w:link w:val="Style_94_ch"/>
    <w:rPr>
      <w:rFonts w:ascii="Arial" w:hAnsi="Arial"/>
    </w:rPr>
  </w:style>
  <w:style w:styleId="Style_94_ch" w:type="character">
    <w:name w:val="Указатель1"/>
    <w:basedOn w:val="Style_8_ch"/>
    <w:link w:val="Style_94"/>
    <w:rPr>
      <w:rFonts w:ascii="Arial" w:hAnsi="Arial"/>
    </w:rPr>
  </w:style>
  <w:style w:styleId="Style_95" w:type="paragraph">
    <w:name w:val="WW8Num3z7"/>
    <w:link w:val="Style_95_ch"/>
  </w:style>
  <w:style w:styleId="Style_95_ch" w:type="character">
    <w:name w:val="WW8Num3z7"/>
    <w:link w:val="Style_95"/>
  </w:style>
  <w:style w:styleId="Style_96" w:type="paragraph">
    <w:name w:val="heading 2"/>
    <w:next w:val="Style_8"/>
    <w:link w:val="Style_9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96_ch" w:type="character">
    <w:name w:val="heading 2"/>
    <w:link w:val="Style_96"/>
    <w:rPr>
      <w:rFonts w:ascii="XO Thames" w:hAnsi="XO Thames"/>
      <w:b w:val="1"/>
      <w:sz w:val="28"/>
    </w:rPr>
  </w:style>
  <w:style w:styleId="Style_97" w:type="paragraph">
    <w:name w:val="WW8Num3z8"/>
    <w:link w:val="Style_97_ch"/>
  </w:style>
  <w:style w:styleId="Style_97_ch" w:type="character">
    <w:name w:val="WW8Num3z8"/>
    <w:link w:val="Style_97"/>
  </w:style>
  <w:style w:styleId="Style_98" w:type="paragraph">
    <w:name w:val="WW8Num2z1"/>
    <w:link w:val="Style_98_ch"/>
  </w:style>
  <w:style w:styleId="Style_98_ch" w:type="character">
    <w:name w:val="WW8Num2z1"/>
    <w:link w:val="Style_98"/>
  </w:style>
  <w:style w:styleId="Style_99" w:type="paragraph">
    <w:name w:val="Название2"/>
    <w:basedOn w:val="Style_8"/>
    <w:link w:val="Style_99_ch"/>
    <w:pPr>
      <w:spacing w:after="120" w:before="120"/>
      <w:ind/>
    </w:pPr>
    <w:rPr>
      <w:rFonts w:ascii="Arial" w:hAnsi="Arial"/>
      <w:i w:val="1"/>
      <w:sz w:val="20"/>
    </w:rPr>
  </w:style>
  <w:style w:styleId="Style_99_ch" w:type="character">
    <w:name w:val="Название2"/>
    <w:basedOn w:val="Style_8_ch"/>
    <w:link w:val="Style_99"/>
    <w:rPr>
      <w:rFonts w:ascii="Arial" w:hAnsi="Arial"/>
      <w:i w:val="1"/>
      <w:sz w:val="20"/>
    </w:rPr>
  </w:style>
  <w:style w:styleId="Style_100" w:type="paragraph">
    <w:name w:val="WW-Absatz-Standardschriftart11111"/>
    <w:link w:val="Style_100_ch"/>
  </w:style>
  <w:style w:styleId="Style_100_ch" w:type="character">
    <w:name w:val="WW-Absatz-Standardschriftart11111"/>
    <w:link w:val="Style_100"/>
  </w:style>
  <w:style w:default="1" w:styleId="Style_10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2022-04-25T13:17:17Z</dcterms:modified>
</cp:coreProperties>
</file>