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8C" w:rsidRPr="00972A8C" w:rsidRDefault="00972A8C" w:rsidP="00972A8C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0CB4C1C" wp14:editId="623380D2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A8C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72A8C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72A8C" w:rsidRPr="00972A8C" w:rsidRDefault="00972A8C" w:rsidP="00972A8C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72A8C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72A8C" w:rsidRPr="00972A8C" w:rsidRDefault="00972A8C" w:rsidP="00972A8C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72A8C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72A8C" w:rsidRPr="00972A8C" w:rsidRDefault="00972A8C" w:rsidP="00972A8C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972A8C" w:rsidRPr="00972A8C" w:rsidRDefault="00972A8C" w:rsidP="00972A8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72A8C" w:rsidRPr="00972A8C" w:rsidRDefault="00972A8C" w:rsidP="00972A8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72A8C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972A8C" w:rsidRPr="00972A8C" w:rsidRDefault="00972A8C" w:rsidP="00972A8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72A8C" w:rsidRPr="00972A8C" w:rsidTr="00423DEE">
        <w:trPr>
          <w:trHeight w:val="383"/>
        </w:trPr>
        <w:tc>
          <w:tcPr>
            <w:tcW w:w="2235" w:type="dxa"/>
            <w:hideMark/>
          </w:tcPr>
          <w:p w:rsidR="00972A8C" w:rsidRPr="00972A8C" w:rsidRDefault="00946267" w:rsidP="00972A8C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16.10.2023</w:t>
            </w:r>
          </w:p>
        </w:tc>
        <w:tc>
          <w:tcPr>
            <w:tcW w:w="2268" w:type="dxa"/>
          </w:tcPr>
          <w:p w:rsidR="00972A8C" w:rsidRPr="00972A8C" w:rsidRDefault="00972A8C" w:rsidP="00972A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72A8C" w:rsidRPr="00972A8C" w:rsidRDefault="00972A8C" w:rsidP="00972A8C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72A8C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72A8C" w:rsidRPr="00972A8C" w:rsidRDefault="00946267" w:rsidP="00972A8C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1000</w:t>
            </w:r>
          </w:p>
        </w:tc>
        <w:tc>
          <w:tcPr>
            <w:tcW w:w="1315" w:type="dxa"/>
          </w:tcPr>
          <w:p w:rsidR="00972A8C" w:rsidRPr="00972A8C" w:rsidRDefault="00972A8C" w:rsidP="00972A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72A8C" w:rsidRPr="00972A8C" w:rsidRDefault="00972A8C" w:rsidP="00972A8C">
            <w:pPr>
              <w:overflowPunct/>
              <w:autoSpaceDE/>
              <w:autoSpaceDN/>
              <w:adjustRightInd/>
              <w:ind w:left="196" w:hanging="196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72A8C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35D73" w:rsidRPr="000A6921" w:rsidRDefault="00E35D73" w:rsidP="00972A8C">
      <w:pPr>
        <w:pStyle w:val="a5"/>
        <w:ind w:right="4536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>Об утверждении отчета об</w:t>
      </w:r>
      <w:r w:rsidR="00972A8C">
        <w:rPr>
          <w:rFonts w:ascii="Times New Roman" w:hAnsi="Times New Roman"/>
          <w:szCs w:val="28"/>
        </w:rPr>
        <w:t xml:space="preserve"> </w:t>
      </w:r>
      <w:r w:rsidRPr="000A6921">
        <w:rPr>
          <w:rFonts w:ascii="Times New Roman" w:hAnsi="Times New Roman"/>
          <w:szCs w:val="28"/>
        </w:rPr>
        <w:t xml:space="preserve">исполнении бюджета Песчанокопского района за </w:t>
      </w:r>
      <w:r>
        <w:rPr>
          <w:rFonts w:ascii="Times New Roman" w:hAnsi="Times New Roman"/>
          <w:szCs w:val="28"/>
        </w:rPr>
        <w:t xml:space="preserve"> 9 месяцев 2023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E35D73" w:rsidRPr="000A6921" w:rsidRDefault="00E35D73" w:rsidP="00E35D73">
      <w:pPr>
        <w:pStyle w:val="a5"/>
        <w:rPr>
          <w:rFonts w:ascii="Times New Roman" w:hAnsi="Times New Roman"/>
          <w:szCs w:val="28"/>
        </w:rPr>
      </w:pPr>
    </w:p>
    <w:p w:rsidR="00972A8C" w:rsidRPr="00650CE0" w:rsidRDefault="00E35D73" w:rsidP="00E35D73">
      <w:pPr>
        <w:jc w:val="both"/>
        <w:textAlignment w:val="auto"/>
        <w:rPr>
          <w:sz w:val="8"/>
          <w:szCs w:val="28"/>
        </w:rPr>
      </w:pPr>
      <w:r w:rsidRPr="005F743F">
        <w:rPr>
          <w:sz w:val="28"/>
          <w:szCs w:val="28"/>
        </w:rPr>
        <w:t xml:space="preserve">          </w:t>
      </w:r>
    </w:p>
    <w:p w:rsidR="00E35D73" w:rsidRPr="005F743F" w:rsidRDefault="00E35D73" w:rsidP="00972A8C">
      <w:pPr>
        <w:tabs>
          <w:tab w:val="left" w:pos="709"/>
        </w:tabs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F743F">
        <w:rPr>
          <w:sz w:val="28"/>
          <w:szCs w:val="28"/>
        </w:rPr>
        <w:t xml:space="preserve">В соответствии со статьей 264.2 Бюджетного </w:t>
      </w:r>
      <w:r w:rsidR="000857DC">
        <w:rPr>
          <w:sz w:val="28"/>
          <w:szCs w:val="28"/>
        </w:rPr>
        <w:t>к</w:t>
      </w:r>
      <w:r w:rsidRPr="005F743F">
        <w:rPr>
          <w:sz w:val="28"/>
          <w:szCs w:val="28"/>
        </w:rPr>
        <w:t xml:space="preserve">одекса Российской Федерации, ст. 47 решения Собрания депутатов Песчанокопского района </w:t>
      </w:r>
      <w:r w:rsidR="000857DC">
        <w:rPr>
          <w:sz w:val="28"/>
          <w:szCs w:val="28"/>
        </w:rPr>
        <w:t xml:space="preserve">         </w:t>
      </w:r>
      <w:r w:rsidRPr="005F743F">
        <w:rPr>
          <w:sz w:val="28"/>
          <w:szCs w:val="28"/>
        </w:rPr>
        <w:t>от 26.09.2007</w:t>
      </w:r>
      <w:r w:rsidR="000857DC">
        <w:rPr>
          <w:sz w:val="28"/>
          <w:szCs w:val="28"/>
        </w:rPr>
        <w:t xml:space="preserve"> </w:t>
      </w:r>
      <w:r w:rsidRPr="005F743F">
        <w:rPr>
          <w:sz w:val="28"/>
          <w:szCs w:val="28"/>
        </w:rPr>
        <w:t xml:space="preserve"> № 207 «Об утверждении Положения «О бюджетном процессе в Песчанокопском районе», в целях соблюдения бюджетного законодательства,</w:t>
      </w:r>
    </w:p>
    <w:p w:rsidR="00E35D73" w:rsidRPr="00650CE0" w:rsidRDefault="00E35D73" w:rsidP="00E35D73">
      <w:pPr>
        <w:pStyle w:val="21"/>
        <w:rPr>
          <w:rFonts w:ascii="Times New Roman" w:hAnsi="Times New Roman"/>
          <w:sz w:val="2"/>
          <w:szCs w:val="28"/>
        </w:rPr>
      </w:pPr>
    </w:p>
    <w:p w:rsidR="00972A8C" w:rsidRPr="00972A8C" w:rsidRDefault="00972A8C" w:rsidP="00972A8C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972A8C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972A8C">
        <w:rPr>
          <w:rFonts w:ascii="Times New Roman" w:hAnsi="Times New Roman"/>
          <w:sz w:val="28"/>
          <w:szCs w:val="28"/>
        </w:rPr>
        <w:t>:</w:t>
      </w:r>
    </w:p>
    <w:p w:rsidR="00E35D73" w:rsidRPr="00972A8C" w:rsidRDefault="00E35D73" w:rsidP="00E35D73">
      <w:pPr>
        <w:pStyle w:val="21"/>
        <w:rPr>
          <w:rFonts w:ascii="Times New Roman" w:hAnsi="Times New Roman"/>
          <w:sz w:val="10"/>
          <w:szCs w:val="28"/>
        </w:rPr>
      </w:pPr>
    </w:p>
    <w:p w:rsidR="00E35D73" w:rsidRPr="000A6921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>
        <w:rPr>
          <w:rFonts w:ascii="Times New Roman" w:hAnsi="Times New Roman"/>
          <w:sz w:val="28"/>
          <w:szCs w:val="28"/>
        </w:rPr>
        <w:t>9 месяцев 2023</w:t>
      </w:r>
      <w:r w:rsidRPr="000A6921">
        <w:rPr>
          <w:rFonts w:ascii="Times New Roman" w:hAnsi="Times New Roman"/>
          <w:sz w:val="28"/>
          <w:szCs w:val="28"/>
        </w:rPr>
        <w:t xml:space="preserve"> года по доходам в сумме </w:t>
      </w:r>
      <w:r>
        <w:rPr>
          <w:rFonts w:ascii="Times New Roman" w:hAnsi="Times New Roman"/>
          <w:sz w:val="28"/>
          <w:szCs w:val="28"/>
        </w:rPr>
        <w:t>883124,4</w:t>
      </w:r>
      <w:r w:rsidRPr="000A6921">
        <w:rPr>
          <w:rFonts w:ascii="Times New Roman" w:hAnsi="Times New Roman"/>
          <w:sz w:val="28"/>
          <w:szCs w:val="28"/>
        </w:rPr>
        <w:t xml:space="preserve"> тыс. рублей, расходам в сумме </w:t>
      </w:r>
      <w:r>
        <w:rPr>
          <w:rFonts w:ascii="Times New Roman" w:hAnsi="Times New Roman"/>
          <w:sz w:val="28"/>
          <w:szCs w:val="28"/>
        </w:rPr>
        <w:t>883691,2</w:t>
      </w:r>
      <w:r w:rsidRPr="000A6921">
        <w:rPr>
          <w:rFonts w:ascii="Times New Roman" w:hAnsi="Times New Roman"/>
          <w:sz w:val="28"/>
          <w:szCs w:val="28"/>
        </w:rPr>
        <w:t xml:space="preserve"> тыс. рублей, с размером </w:t>
      </w:r>
      <w:r>
        <w:rPr>
          <w:rFonts w:ascii="Times New Roman" w:hAnsi="Times New Roman"/>
          <w:sz w:val="28"/>
          <w:szCs w:val="28"/>
        </w:rPr>
        <w:t>дефицита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566,8</w:t>
      </w:r>
      <w:r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E35D73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Определить, что держателем оригинала отчета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</w:rPr>
        <w:t>9 месяцев</w:t>
      </w:r>
      <w:r w:rsidRPr="000A692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 Ростовской области.</w:t>
      </w:r>
    </w:p>
    <w:p w:rsidR="00E35D73" w:rsidRPr="000A6921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Начальнику финансового отдела (Афанасьева И.А.) н</w:t>
      </w:r>
      <w:r w:rsidRPr="000A6921">
        <w:rPr>
          <w:rFonts w:ascii="Times New Roman" w:hAnsi="Times New Roman"/>
          <w:sz w:val="28"/>
          <w:szCs w:val="28"/>
        </w:rPr>
        <w:t xml:space="preserve">аправить настоящее постановление и отчет об исполнении бюджета Песчанокопского района за </w:t>
      </w:r>
      <w:r>
        <w:rPr>
          <w:rFonts w:ascii="Times New Roman" w:hAnsi="Times New Roman"/>
          <w:sz w:val="28"/>
          <w:szCs w:val="28"/>
        </w:rPr>
        <w:t>9 месяцев 2023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E35D73" w:rsidRPr="000A6921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подлежит размещению  на официальном сайте Администрации Песчанокопского района в сети «Интернет».</w:t>
      </w:r>
    </w:p>
    <w:p w:rsidR="00E35D73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857DC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Руководителю пресс-службы Администрации района </w:t>
      </w:r>
      <w:r w:rsidR="000857D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(Сидоренко С.А.)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>ние в вестнике Администрации Песчанокопского района «Район официальный».</w:t>
      </w:r>
    </w:p>
    <w:p w:rsidR="00E35D73" w:rsidRPr="000A6921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E35D73" w:rsidRPr="000A6921" w:rsidRDefault="00E35D73" w:rsidP="00972A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A69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6921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35D73" w:rsidRDefault="00E35D73" w:rsidP="00E35D73">
      <w:pPr>
        <w:jc w:val="both"/>
      </w:pPr>
      <w:r w:rsidRPr="000A6921">
        <w:t xml:space="preserve">            </w:t>
      </w:r>
    </w:p>
    <w:p w:rsidR="00E35D73" w:rsidRPr="00650CE0" w:rsidRDefault="00E35D73" w:rsidP="00650CE0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E35D73" w:rsidRDefault="00E35D73" w:rsidP="00E35D73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</w:t>
      </w:r>
      <w:r w:rsidR="00972A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И.И.</w:t>
      </w:r>
      <w:r w:rsidR="00972A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E35D73" w:rsidRPr="00650CE0" w:rsidRDefault="00E35D73" w:rsidP="00E35D73">
      <w:pPr>
        <w:shd w:val="clear" w:color="auto" w:fill="FFFFFF"/>
        <w:ind w:right="7"/>
        <w:jc w:val="both"/>
        <w:rPr>
          <w:rFonts w:ascii="Times New Roman" w:hAnsi="Times New Roman"/>
          <w:sz w:val="22"/>
          <w:szCs w:val="28"/>
        </w:rPr>
      </w:pPr>
    </w:p>
    <w:p w:rsidR="00E35D73" w:rsidRPr="000A6921" w:rsidRDefault="00E35D73" w:rsidP="00E35D73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E35D73" w:rsidRPr="00A16432" w:rsidRDefault="00972A8C" w:rsidP="00E35D73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E35D73" w:rsidRPr="000A6921">
        <w:rPr>
          <w:sz w:val="28"/>
          <w:szCs w:val="28"/>
        </w:rPr>
        <w:t xml:space="preserve">инансовый отдел  </w:t>
      </w:r>
    </w:p>
    <w:p w:rsidR="00E35D73" w:rsidRPr="00A16432" w:rsidRDefault="00E35D73" w:rsidP="00E35D73"/>
    <w:p w:rsidR="00E35D73" w:rsidRPr="00726939" w:rsidRDefault="00E35D73" w:rsidP="00423DEE">
      <w:pPr>
        <w:pStyle w:val="ConsPlusNormal"/>
        <w:ind w:left="5103" w:firstLine="0"/>
        <w:jc w:val="both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E35D73" w:rsidRDefault="00E35D73" w:rsidP="00423DEE">
      <w:pPr>
        <w:pStyle w:val="ConsPlusNormal"/>
        <w:ind w:left="5103" w:firstLine="0"/>
        <w:jc w:val="both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7E5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E35D73" w:rsidRDefault="00E35D73" w:rsidP="00423DEE">
      <w:pPr>
        <w:pStyle w:val="ConsPlusNormal"/>
        <w:ind w:left="5103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35D73" w:rsidRDefault="00946267" w:rsidP="00423DEE">
      <w:pPr>
        <w:pStyle w:val="ConsPlusNormal"/>
        <w:ind w:left="5103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т 16.10.2023 </w:t>
      </w:r>
      <w:r w:rsidR="00E35D73">
        <w:rPr>
          <w:sz w:val="28"/>
          <w:szCs w:val="28"/>
        </w:rPr>
        <w:t>№</w:t>
      </w:r>
      <w:r>
        <w:rPr>
          <w:sz w:val="28"/>
          <w:szCs w:val="28"/>
        </w:rPr>
        <w:t xml:space="preserve"> 1000</w:t>
      </w:r>
    </w:p>
    <w:p w:rsidR="00E35D73" w:rsidRPr="00C172D5" w:rsidRDefault="00E35D73" w:rsidP="00E35D73">
      <w:pPr>
        <w:pStyle w:val="ConsPlusNormal"/>
        <w:ind w:firstLine="0"/>
        <w:jc w:val="both"/>
        <w:rPr>
          <w:sz w:val="28"/>
          <w:szCs w:val="28"/>
        </w:rPr>
      </w:pPr>
    </w:p>
    <w:p w:rsidR="00E35D73" w:rsidRPr="00C172D5" w:rsidRDefault="00E35D73" w:rsidP="00E35D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E35D73" w:rsidRPr="00C172D5" w:rsidRDefault="00E35D73" w:rsidP="00E35D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E35D73" w:rsidRPr="00C172D5" w:rsidRDefault="00E35D73" w:rsidP="00E35D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>9 месяцев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5D73" w:rsidRPr="00C172D5" w:rsidRDefault="00E35D73" w:rsidP="00E35D73">
      <w:pPr>
        <w:pStyle w:val="ConsPlusNormal"/>
        <w:ind w:firstLine="540"/>
        <w:jc w:val="both"/>
        <w:rPr>
          <w:sz w:val="28"/>
          <w:szCs w:val="28"/>
        </w:rPr>
      </w:pPr>
    </w:p>
    <w:p w:rsidR="00E35D73" w:rsidRPr="008A6A88" w:rsidRDefault="00E35D73" w:rsidP="00423DEE">
      <w:pPr>
        <w:pStyle w:val="ConsPlusNormal"/>
        <w:tabs>
          <w:tab w:val="left" w:pos="709"/>
          <w:tab w:val="left" w:pos="7560"/>
          <w:tab w:val="left" w:pos="7920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>
        <w:rPr>
          <w:sz w:val="28"/>
          <w:szCs w:val="28"/>
        </w:rPr>
        <w:t>9 месяцев</w:t>
      </w:r>
      <w:r w:rsidRPr="0018111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18111A">
        <w:rPr>
          <w:color w:val="000000"/>
          <w:sz w:val="28"/>
          <w:szCs w:val="28"/>
        </w:rPr>
        <w:t xml:space="preserve"> года составило по доходам в сумме </w:t>
      </w:r>
      <w:r>
        <w:rPr>
          <w:b/>
          <w:sz w:val="28"/>
          <w:szCs w:val="28"/>
        </w:rPr>
        <w:t>883124,4</w:t>
      </w:r>
      <w:r w:rsidRPr="000A6921">
        <w:rPr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 xml:space="preserve">тыс. рублей, или </w:t>
      </w:r>
      <w:r>
        <w:rPr>
          <w:color w:val="000000"/>
          <w:sz w:val="28"/>
          <w:szCs w:val="28"/>
        </w:rPr>
        <w:t>71,4</w:t>
      </w:r>
      <w:r w:rsidRPr="0018111A">
        <w:rPr>
          <w:color w:val="000000"/>
          <w:sz w:val="28"/>
          <w:szCs w:val="28"/>
        </w:rPr>
        <w:t xml:space="preserve"> процента к годовому плану, и по расходам в сумме </w:t>
      </w:r>
      <w:r>
        <w:rPr>
          <w:b/>
          <w:sz w:val="28"/>
          <w:szCs w:val="28"/>
        </w:rPr>
        <w:t>883691,2</w:t>
      </w:r>
      <w:r w:rsidRPr="000A6921">
        <w:rPr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 xml:space="preserve">тыс. рублей или </w:t>
      </w:r>
      <w:r>
        <w:rPr>
          <w:color w:val="000000"/>
          <w:sz w:val="28"/>
          <w:szCs w:val="28"/>
        </w:rPr>
        <w:t>68,9</w:t>
      </w:r>
      <w:r w:rsidRPr="0018111A">
        <w:rPr>
          <w:color w:val="000000"/>
          <w:sz w:val="28"/>
          <w:szCs w:val="28"/>
        </w:rPr>
        <w:t xml:space="preserve"> процента. </w:t>
      </w:r>
      <w:r>
        <w:rPr>
          <w:b/>
          <w:color w:val="000000"/>
          <w:sz w:val="28"/>
          <w:szCs w:val="28"/>
        </w:rPr>
        <w:t>Дефицит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 месяцев</w:t>
      </w:r>
      <w:r w:rsidRPr="0018111A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 года составил 566,8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Прирост д</w:t>
      </w:r>
      <w:r w:rsidRPr="0018111A">
        <w:rPr>
          <w:color w:val="000000"/>
          <w:sz w:val="28"/>
          <w:szCs w:val="28"/>
        </w:rPr>
        <w:t>оход</w:t>
      </w:r>
      <w:r>
        <w:rPr>
          <w:color w:val="000000"/>
          <w:sz w:val="28"/>
          <w:szCs w:val="28"/>
        </w:rPr>
        <w:t>ов</w:t>
      </w:r>
      <w:r w:rsidRPr="0018111A">
        <w:rPr>
          <w:color w:val="000000"/>
          <w:sz w:val="28"/>
          <w:szCs w:val="28"/>
        </w:rPr>
        <w:t xml:space="preserve"> по сравнению с аналогичным периодом прошлого года </w:t>
      </w:r>
      <w:r>
        <w:rPr>
          <w:color w:val="000000"/>
          <w:sz w:val="28"/>
          <w:szCs w:val="28"/>
        </w:rPr>
        <w:t>составил 52139,8</w:t>
      </w:r>
      <w:r w:rsidRPr="0018111A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или 6,3 процента.</w:t>
      </w:r>
      <w:r w:rsidRPr="0018111A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величение</w:t>
      </w:r>
      <w:r w:rsidRPr="0018111A">
        <w:rPr>
          <w:color w:val="000000"/>
          <w:sz w:val="28"/>
          <w:szCs w:val="28"/>
        </w:rPr>
        <w:t xml:space="preserve"> расходов </w:t>
      </w:r>
      <w:r>
        <w:rPr>
          <w:color w:val="000000"/>
          <w:sz w:val="28"/>
          <w:szCs w:val="28"/>
        </w:rPr>
        <w:t>43587,4</w:t>
      </w:r>
      <w:r w:rsidRPr="0018111A">
        <w:rPr>
          <w:color w:val="000000"/>
          <w:sz w:val="28"/>
          <w:szCs w:val="28"/>
        </w:rPr>
        <w:t xml:space="preserve"> тыс. рублей, или </w:t>
      </w:r>
      <w:r>
        <w:rPr>
          <w:color w:val="000000"/>
          <w:sz w:val="28"/>
          <w:szCs w:val="28"/>
        </w:rPr>
        <w:t>5,2</w:t>
      </w:r>
      <w:r w:rsidRPr="0018111A">
        <w:rPr>
          <w:color w:val="000000"/>
          <w:sz w:val="28"/>
          <w:szCs w:val="28"/>
        </w:rPr>
        <w:t xml:space="preserve"> процента в сопоставимых данных.</w:t>
      </w:r>
    </w:p>
    <w:p w:rsidR="00E35D73" w:rsidRPr="00656194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>
        <w:rPr>
          <w:sz w:val="28"/>
          <w:szCs w:val="28"/>
        </w:rPr>
        <w:t xml:space="preserve"> 9 месяцев</w:t>
      </w:r>
      <w:r w:rsidRPr="00656194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656194">
        <w:rPr>
          <w:color w:val="000000"/>
          <w:sz w:val="28"/>
          <w:szCs w:val="28"/>
        </w:rPr>
        <w:t xml:space="preserve"> года прилагаются, согласно приложению</w:t>
      </w:r>
      <w:r>
        <w:rPr>
          <w:color w:val="000000"/>
          <w:sz w:val="28"/>
          <w:szCs w:val="28"/>
        </w:rPr>
        <w:t xml:space="preserve"> 1 </w:t>
      </w:r>
      <w:r w:rsidRPr="00656194">
        <w:rPr>
          <w:color w:val="000000"/>
          <w:sz w:val="28"/>
          <w:szCs w:val="28"/>
        </w:rPr>
        <w:t>к Сведениям о ходе исполнения бюджета Песчанокопско</w:t>
      </w:r>
      <w:r>
        <w:rPr>
          <w:color w:val="000000"/>
          <w:sz w:val="28"/>
          <w:szCs w:val="28"/>
        </w:rPr>
        <w:t xml:space="preserve">го района. </w:t>
      </w:r>
    </w:p>
    <w:p w:rsidR="00E35D73" w:rsidRPr="0018111A" w:rsidRDefault="00E35D73" w:rsidP="00423DEE">
      <w:pPr>
        <w:pStyle w:val="ConsPlusNormal"/>
        <w:tabs>
          <w:tab w:val="left" w:pos="709"/>
          <w:tab w:val="left" w:pos="7740"/>
        </w:tabs>
        <w:ind w:firstLine="709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>
        <w:rPr>
          <w:sz w:val="28"/>
          <w:szCs w:val="28"/>
        </w:rPr>
        <w:t>165148,7</w:t>
      </w:r>
      <w:r w:rsidRPr="0018111A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18,7</w:t>
      </w:r>
      <w:r w:rsidRPr="0018111A">
        <w:rPr>
          <w:sz w:val="28"/>
          <w:szCs w:val="28"/>
        </w:rPr>
        <w:t xml:space="preserve"> процента всех поступлений и </w:t>
      </w:r>
      <w:r>
        <w:rPr>
          <w:sz w:val="28"/>
          <w:szCs w:val="28"/>
        </w:rPr>
        <w:t>13,4</w:t>
      </w:r>
      <w:r w:rsidRPr="0018111A">
        <w:rPr>
          <w:sz w:val="28"/>
          <w:szCs w:val="28"/>
        </w:rPr>
        <w:t xml:space="preserve"> процента к годовым плановым назначениям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>
        <w:rPr>
          <w:sz w:val="28"/>
          <w:szCs w:val="28"/>
        </w:rPr>
        <w:t>меньше</w:t>
      </w:r>
      <w:r w:rsidRPr="0018111A">
        <w:rPr>
          <w:sz w:val="28"/>
          <w:szCs w:val="28"/>
        </w:rPr>
        <w:t xml:space="preserve"> уровня аналогичного периода прошлого года на </w:t>
      </w:r>
      <w:r>
        <w:rPr>
          <w:sz w:val="28"/>
          <w:szCs w:val="28"/>
        </w:rPr>
        <w:t>9204,4</w:t>
      </w:r>
      <w:r w:rsidRPr="0018111A">
        <w:rPr>
          <w:sz w:val="28"/>
          <w:szCs w:val="28"/>
        </w:rPr>
        <w:t xml:space="preserve"> тыс.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Наибольший удельный вес в их структуре занимают:  налог на доходы физических лиц </w:t>
      </w:r>
      <w:r>
        <w:rPr>
          <w:sz w:val="28"/>
          <w:szCs w:val="28"/>
        </w:rPr>
        <w:t>90114,6</w:t>
      </w:r>
      <w:r w:rsidRPr="0018111A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54,6</w:t>
      </w:r>
      <w:r w:rsidRPr="0018111A">
        <w:rPr>
          <w:sz w:val="28"/>
          <w:szCs w:val="28"/>
        </w:rPr>
        <w:t xml:space="preserve"> процента, налоги на совокупный доход – </w:t>
      </w:r>
      <w:r>
        <w:rPr>
          <w:sz w:val="28"/>
          <w:szCs w:val="28"/>
        </w:rPr>
        <w:t>36364,7</w:t>
      </w:r>
      <w:r w:rsidRPr="0018111A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22,0</w:t>
      </w:r>
      <w:r w:rsidRPr="0018111A">
        <w:rPr>
          <w:sz w:val="28"/>
          <w:szCs w:val="28"/>
        </w:rPr>
        <w:t xml:space="preserve"> процента.</w:t>
      </w:r>
    </w:p>
    <w:p w:rsidR="00E35D73" w:rsidRPr="007C2401" w:rsidRDefault="00E35D73" w:rsidP="00423DEE">
      <w:pPr>
        <w:pStyle w:val="ConsPlusNormal"/>
        <w:tabs>
          <w:tab w:val="left" w:pos="709"/>
          <w:tab w:val="left" w:pos="792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Межбюджетные трансферты бюджету Песчанокопского района за  </w:t>
      </w:r>
      <w:r>
        <w:rPr>
          <w:sz w:val="28"/>
          <w:szCs w:val="28"/>
        </w:rPr>
        <w:t>9 месяцев</w:t>
      </w:r>
      <w:r w:rsidRPr="007C2401">
        <w:rPr>
          <w:sz w:val="28"/>
          <w:szCs w:val="28"/>
        </w:rPr>
        <w:t xml:space="preserve">  202</w:t>
      </w:r>
      <w:r>
        <w:rPr>
          <w:sz w:val="28"/>
          <w:szCs w:val="28"/>
        </w:rPr>
        <w:t>3</w:t>
      </w:r>
      <w:r w:rsidRPr="007C2401">
        <w:rPr>
          <w:sz w:val="28"/>
          <w:szCs w:val="28"/>
        </w:rPr>
        <w:t xml:space="preserve"> года составили  </w:t>
      </w:r>
      <w:r>
        <w:rPr>
          <w:sz w:val="28"/>
          <w:szCs w:val="28"/>
        </w:rPr>
        <w:t>716549,9</w:t>
      </w:r>
      <w:r w:rsidRPr="007C2401">
        <w:rPr>
          <w:sz w:val="28"/>
          <w:szCs w:val="28"/>
        </w:rPr>
        <w:t xml:space="preserve"> тыс. рублей</w:t>
      </w:r>
      <w:r w:rsidR="00423DEE">
        <w:rPr>
          <w:sz w:val="28"/>
          <w:szCs w:val="28"/>
        </w:rPr>
        <w:t>.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FF"/>
          <w:sz w:val="28"/>
          <w:szCs w:val="28"/>
        </w:rPr>
      </w:pP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обеспечение деятельности учреждений культуры, здравоохранения, образования, социального обслуживания населения, а также проведение мероприятий в отраслях социально-культурной сферы – </w:t>
      </w:r>
      <w:r>
        <w:rPr>
          <w:color w:val="000000"/>
          <w:sz w:val="28"/>
          <w:szCs w:val="28"/>
        </w:rPr>
        <w:t>697638,6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предоставление государственной поддержки развития отраслей экономики –  </w:t>
      </w:r>
      <w:r>
        <w:rPr>
          <w:sz w:val="28"/>
          <w:szCs w:val="28"/>
        </w:rPr>
        <w:t>113064,1</w:t>
      </w:r>
      <w:r w:rsidRPr="007C2401">
        <w:rPr>
          <w:sz w:val="28"/>
          <w:szCs w:val="28"/>
        </w:rPr>
        <w:t xml:space="preserve"> тыс. руб.  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Расходы на образование, социальную политику, культуру, спорт и здравоохранение составили </w:t>
      </w:r>
      <w:r>
        <w:rPr>
          <w:color w:val="000000"/>
          <w:sz w:val="28"/>
          <w:szCs w:val="28"/>
        </w:rPr>
        <w:t>78,9</w:t>
      </w:r>
      <w:r w:rsidRPr="007C2401">
        <w:rPr>
          <w:color w:val="000000"/>
          <w:sz w:val="28"/>
          <w:szCs w:val="28"/>
        </w:rPr>
        <w:t xml:space="preserve"> процента всех расходов.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В составе бюджета Песчанокопского района расходы на оплату труда работников бюджетной сферы составили </w:t>
      </w:r>
      <w:r>
        <w:rPr>
          <w:sz w:val="28"/>
          <w:szCs w:val="28"/>
        </w:rPr>
        <w:t>373408,2</w:t>
      </w:r>
      <w:r w:rsidRPr="007C2401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42,3</w:t>
      </w:r>
      <w:r w:rsidRPr="007C2401">
        <w:rPr>
          <w:sz w:val="28"/>
          <w:szCs w:val="28"/>
        </w:rPr>
        <w:t xml:space="preserve">% </w:t>
      </w:r>
      <w:r w:rsidRPr="007C2401">
        <w:rPr>
          <w:sz w:val="28"/>
          <w:szCs w:val="28"/>
        </w:rPr>
        <w:lastRenderedPageBreak/>
        <w:t xml:space="preserve">процента бюджета, аппарата управления – </w:t>
      </w:r>
      <w:r>
        <w:rPr>
          <w:sz w:val="28"/>
          <w:szCs w:val="28"/>
        </w:rPr>
        <w:t>65736,8</w:t>
      </w:r>
      <w:r w:rsidRPr="007C2401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7,4</w:t>
      </w:r>
      <w:r w:rsidRPr="007C2401">
        <w:rPr>
          <w:sz w:val="28"/>
          <w:szCs w:val="28"/>
        </w:rPr>
        <w:t>% процента бюджета.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9</w:t>
      </w:r>
      <w:r w:rsidRPr="007C24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месяцев</w:t>
      </w:r>
      <w:r w:rsidRPr="007C240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составила 9</w:t>
      </w:r>
      <w:r>
        <w:rPr>
          <w:color w:val="000000"/>
          <w:sz w:val="28"/>
          <w:szCs w:val="28"/>
        </w:rPr>
        <w:t>4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>
        <w:rPr>
          <w:color w:val="000000"/>
          <w:sz w:val="28"/>
          <w:szCs w:val="28"/>
        </w:rPr>
        <w:t>47130,0</w:t>
      </w:r>
      <w:r w:rsidRPr="007C2401">
        <w:rPr>
          <w:color w:val="000000"/>
          <w:sz w:val="28"/>
          <w:szCs w:val="28"/>
        </w:rPr>
        <w:t xml:space="preserve"> тыс</w:t>
      </w:r>
      <w:proofErr w:type="gramStart"/>
      <w:r w:rsidRPr="007C2401">
        <w:rPr>
          <w:color w:val="000000"/>
          <w:sz w:val="28"/>
          <w:szCs w:val="28"/>
        </w:rPr>
        <w:t>.р</w:t>
      </w:r>
      <w:proofErr w:type="gramEnd"/>
      <w:r w:rsidRPr="007C2401">
        <w:rPr>
          <w:color w:val="000000"/>
          <w:sz w:val="28"/>
          <w:szCs w:val="28"/>
        </w:rPr>
        <w:t xml:space="preserve">уб., работников обслуживающих органы местного самоуправления и осуществляющих техническое обеспечение </w:t>
      </w:r>
      <w:r>
        <w:rPr>
          <w:color w:val="000000"/>
          <w:sz w:val="28"/>
          <w:szCs w:val="28"/>
        </w:rPr>
        <w:t>44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>
        <w:rPr>
          <w:color w:val="000000"/>
          <w:sz w:val="28"/>
          <w:szCs w:val="28"/>
        </w:rPr>
        <w:t>6739,0</w:t>
      </w:r>
      <w:r w:rsidRPr="007C2401">
        <w:rPr>
          <w:color w:val="000000"/>
          <w:sz w:val="28"/>
          <w:szCs w:val="28"/>
        </w:rPr>
        <w:t xml:space="preserve"> тыс.руб. Численность работников муниципальных бюджетных и автономных учреждений </w:t>
      </w:r>
      <w:r>
        <w:rPr>
          <w:color w:val="000000"/>
          <w:sz w:val="28"/>
          <w:szCs w:val="28"/>
        </w:rPr>
        <w:t>1022,7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содержание составила </w:t>
      </w:r>
      <w:r>
        <w:rPr>
          <w:color w:val="000000"/>
          <w:sz w:val="28"/>
          <w:szCs w:val="28"/>
        </w:rPr>
        <w:t>295186,4</w:t>
      </w:r>
      <w:r w:rsidRPr="007C2401">
        <w:rPr>
          <w:color w:val="000000"/>
          <w:sz w:val="28"/>
          <w:szCs w:val="28"/>
        </w:rPr>
        <w:t xml:space="preserve"> тыс.рублей.</w:t>
      </w:r>
    </w:p>
    <w:p w:rsidR="00E35D73" w:rsidRPr="007C2401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В целях выравнивания бюджетной обеспеченности Песчанокопскому району  оказана финансовая поддержка в объеме </w:t>
      </w:r>
      <w:r>
        <w:rPr>
          <w:color w:val="000000"/>
          <w:sz w:val="28"/>
          <w:szCs w:val="28"/>
        </w:rPr>
        <w:t>89098,8 тыс. рублей, дотация на поддержку мер по обеспечению сбалансированности бюджета в сумме 4053,6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ублей.</w:t>
      </w:r>
    </w:p>
    <w:p w:rsidR="00E35D73" w:rsidRPr="007C2401" w:rsidRDefault="00E35D73" w:rsidP="00423DEE">
      <w:pPr>
        <w:pStyle w:val="ConsPlusNormal"/>
        <w:tabs>
          <w:tab w:val="left" w:pos="709"/>
          <w:tab w:val="left" w:pos="7740"/>
        </w:tabs>
        <w:ind w:firstLine="709"/>
        <w:jc w:val="both"/>
        <w:rPr>
          <w:sz w:val="28"/>
          <w:szCs w:val="28"/>
        </w:rPr>
      </w:pPr>
      <w:proofErr w:type="gramStart"/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>
        <w:rPr>
          <w:sz w:val="28"/>
          <w:szCs w:val="28"/>
        </w:rPr>
        <w:t>490211,6</w:t>
      </w:r>
      <w:r w:rsidRPr="007C2401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 xml:space="preserve"> 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>
        <w:rPr>
          <w:sz w:val="28"/>
          <w:szCs w:val="28"/>
        </w:rPr>
        <w:t>69239,7</w:t>
      </w:r>
      <w:r w:rsidRPr="007C2401">
        <w:rPr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>
        <w:rPr>
          <w:sz w:val="28"/>
          <w:szCs w:val="28"/>
        </w:rPr>
        <w:t>420971,9</w:t>
      </w:r>
      <w:r w:rsidRPr="007C2401">
        <w:rPr>
          <w:sz w:val="28"/>
          <w:szCs w:val="28"/>
        </w:rPr>
        <w:t xml:space="preserve"> тыс. рублей.</w:t>
      </w:r>
      <w:proofErr w:type="gramEnd"/>
    </w:p>
    <w:p w:rsidR="00E35D73" w:rsidRPr="007C2401" w:rsidRDefault="00E35D73" w:rsidP="00423DEE">
      <w:pPr>
        <w:pStyle w:val="ConsPlusNormal"/>
        <w:tabs>
          <w:tab w:val="left" w:pos="709"/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>
        <w:rPr>
          <w:sz w:val="28"/>
          <w:szCs w:val="28"/>
        </w:rPr>
        <w:t>9 месяцев</w:t>
      </w:r>
      <w:r w:rsidRPr="007C240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 xml:space="preserve">направлено </w:t>
      </w:r>
      <w:r>
        <w:rPr>
          <w:sz w:val="28"/>
          <w:szCs w:val="28"/>
        </w:rPr>
        <w:t>853403,8</w:t>
      </w:r>
      <w:r w:rsidRPr="007C2401">
        <w:rPr>
          <w:sz w:val="28"/>
          <w:szCs w:val="28"/>
        </w:rPr>
        <w:t xml:space="preserve"> млн</w:t>
      </w:r>
      <w:proofErr w:type="gramStart"/>
      <w:r w:rsidRPr="007C2401">
        <w:rPr>
          <w:sz w:val="28"/>
          <w:szCs w:val="28"/>
        </w:rPr>
        <w:t>.р</w:t>
      </w:r>
      <w:proofErr w:type="gramEnd"/>
      <w:r w:rsidRPr="007C2401">
        <w:rPr>
          <w:sz w:val="28"/>
          <w:szCs w:val="28"/>
        </w:rPr>
        <w:t xml:space="preserve">ублей, что составляет </w:t>
      </w:r>
      <w:r>
        <w:rPr>
          <w:sz w:val="28"/>
          <w:szCs w:val="28"/>
        </w:rPr>
        <w:t>68,6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E35D73" w:rsidRPr="000440F6" w:rsidRDefault="00E35D73" w:rsidP="00423DEE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Просроченные долги по обязательствам бюджета Песчанокопского района отсутствуют.</w:t>
      </w:r>
      <w:r w:rsidRPr="000440F6">
        <w:rPr>
          <w:color w:val="000000"/>
          <w:sz w:val="28"/>
          <w:szCs w:val="28"/>
        </w:rPr>
        <w:t xml:space="preserve"> </w:t>
      </w:r>
    </w:p>
    <w:p w:rsidR="00E35D73" w:rsidRDefault="00E35D73" w:rsidP="00E35D73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423DEE" w:rsidRDefault="00423DEE" w:rsidP="00E35D73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650CE0" w:rsidRDefault="00650CE0" w:rsidP="00E35D73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423DEE" w:rsidRPr="00423DEE" w:rsidRDefault="00423DEE" w:rsidP="00423DEE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423DEE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423DEE" w:rsidRPr="00423DEE" w:rsidRDefault="00423DEE" w:rsidP="00423DEE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423DEE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423DEE" w:rsidRPr="002B7255" w:rsidRDefault="00423DEE" w:rsidP="00E35D73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E35D73" w:rsidRPr="004D1F69" w:rsidRDefault="00E35D73" w:rsidP="00E35D73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E35D73" w:rsidRPr="00C172D5" w:rsidRDefault="00E35D73" w:rsidP="00E35D73">
      <w:pPr>
        <w:pStyle w:val="ConsPlusNormal"/>
        <w:ind w:firstLine="540"/>
        <w:jc w:val="both"/>
        <w:rPr>
          <w:sz w:val="28"/>
          <w:szCs w:val="28"/>
        </w:rPr>
      </w:pPr>
    </w:p>
    <w:p w:rsidR="00E35D73" w:rsidRPr="00C172D5" w:rsidRDefault="00E35D73" w:rsidP="00E35D73">
      <w:pPr>
        <w:pStyle w:val="ConsPlusNormal"/>
        <w:ind w:firstLine="540"/>
        <w:jc w:val="both"/>
        <w:rPr>
          <w:sz w:val="28"/>
          <w:szCs w:val="28"/>
        </w:rPr>
      </w:pPr>
    </w:p>
    <w:p w:rsidR="00E35D73" w:rsidRPr="00C172D5" w:rsidRDefault="00E35D73" w:rsidP="00E35D73">
      <w:pPr>
        <w:pStyle w:val="ConsPlusNormal"/>
        <w:ind w:firstLine="540"/>
        <w:jc w:val="both"/>
        <w:rPr>
          <w:sz w:val="28"/>
          <w:szCs w:val="28"/>
        </w:rPr>
      </w:pPr>
    </w:p>
    <w:p w:rsidR="00E35D73" w:rsidRPr="00C172D5" w:rsidRDefault="00E35D73" w:rsidP="00E35D73">
      <w:pPr>
        <w:pStyle w:val="ConsPlusNormal"/>
        <w:ind w:firstLine="540"/>
        <w:jc w:val="both"/>
        <w:rPr>
          <w:sz w:val="28"/>
          <w:szCs w:val="28"/>
        </w:rPr>
      </w:pPr>
    </w:p>
    <w:p w:rsidR="00E35D73" w:rsidRDefault="00E35D73" w:rsidP="00423DEE">
      <w:pPr>
        <w:rPr>
          <w:sz w:val="24"/>
          <w:szCs w:val="24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650CE0" w:rsidRDefault="00650CE0" w:rsidP="00423DEE">
      <w:pPr>
        <w:ind w:left="6237"/>
        <w:jc w:val="both"/>
        <w:rPr>
          <w:sz w:val="28"/>
          <w:szCs w:val="28"/>
        </w:rPr>
      </w:pPr>
    </w:p>
    <w:p w:rsidR="00E35D73" w:rsidRPr="00423DEE" w:rsidRDefault="00E35D73" w:rsidP="00423DEE">
      <w:pPr>
        <w:ind w:left="6237"/>
        <w:jc w:val="both"/>
        <w:rPr>
          <w:sz w:val="28"/>
          <w:szCs w:val="28"/>
        </w:rPr>
      </w:pPr>
      <w:r w:rsidRPr="00423DEE">
        <w:rPr>
          <w:sz w:val="28"/>
          <w:szCs w:val="28"/>
        </w:rPr>
        <w:lastRenderedPageBreak/>
        <w:t>Приложение 1</w:t>
      </w:r>
    </w:p>
    <w:p w:rsidR="00E35D73" w:rsidRPr="00423DEE" w:rsidRDefault="00E35D73" w:rsidP="00423DEE">
      <w:pPr>
        <w:ind w:left="6237"/>
        <w:jc w:val="both"/>
        <w:rPr>
          <w:sz w:val="28"/>
          <w:szCs w:val="28"/>
        </w:rPr>
      </w:pPr>
      <w:r w:rsidRPr="00423DEE">
        <w:rPr>
          <w:sz w:val="28"/>
          <w:szCs w:val="28"/>
        </w:rPr>
        <w:t>к Сведениям о ходе</w:t>
      </w:r>
    </w:p>
    <w:p w:rsidR="00E35D73" w:rsidRPr="00423DEE" w:rsidRDefault="00E35D73" w:rsidP="00423DEE">
      <w:pPr>
        <w:ind w:left="6237"/>
        <w:jc w:val="both"/>
        <w:rPr>
          <w:sz w:val="28"/>
          <w:szCs w:val="28"/>
        </w:rPr>
      </w:pPr>
      <w:r w:rsidRPr="00423DEE">
        <w:rPr>
          <w:sz w:val="28"/>
          <w:szCs w:val="28"/>
        </w:rPr>
        <w:t>исполнения бюджета</w:t>
      </w:r>
    </w:p>
    <w:p w:rsidR="00E35D73" w:rsidRPr="00423DEE" w:rsidRDefault="00E35D73" w:rsidP="00423DEE">
      <w:pPr>
        <w:ind w:left="6237"/>
        <w:jc w:val="both"/>
        <w:rPr>
          <w:sz w:val="28"/>
          <w:szCs w:val="28"/>
        </w:rPr>
      </w:pPr>
      <w:r w:rsidRPr="00423DEE">
        <w:rPr>
          <w:sz w:val="28"/>
          <w:szCs w:val="28"/>
        </w:rPr>
        <w:t>Песчанокопского района</w:t>
      </w:r>
    </w:p>
    <w:p w:rsidR="00E35D73" w:rsidRPr="00A16432" w:rsidRDefault="00E35D73" w:rsidP="00423DEE">
      <w:pPr>
        <w:ind w:left="6237"/>
        <w:jc w:val="both"/>
        <w:rPr>
          <w:sz w:val="24"/>
          <w:szCs w:val="24"/>
        </w:rPr>
      </w:pPr>
      <w:r w:rsidRPr="00423DEE">
        <w:rPr>
          <w:sz w:val="28"/>
          <w:szCs w:val="28"/>
        </w:rPr>
        <w:t>за 9 месяцев 2023 года</w:t>
      </w:r>
    </w:p>
    <w:p w:rsidR="00E35D73" w:rsidRPr="00A16432" w:rsidRDefault="00E35D73" w:rsidP="00E35D73"/>
    <w:tbl>
      <w:tblPr>
        <w:tblW w:w="993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6537"/>
        <w:gridCol w:w="1843"/>
        <w:gridCol w:w="1559"/>
      </w:tblGrid>
      <w:tr w:rsidR="00E35D73" w:rsidRPr="00F03F91" w:rsidTr="00423DEE">
        <w:trPr>
          <w:trHeight w:val="264"/>
        </w:trPr>
        <w:tc>
          <w:tcPr>
            <w:tcW w:w="9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35D73" w:rsidRPr="00650CE0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CE0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 w:rsidR="00E35D73" w:rsidRPr="00F03F91" w:rsidTr="00423DEE">
        <w:trPr>
          <w:trHeight w:val="273"/>
        </w:trPr>
        <w:tc>
          <w:tcPr>
            <w:tcW w:w="9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35D73" w:rsidRPr="00650CE0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0CE0">
              <w:rPr>
                <w:rFonts w:ascii="Times New Roman" w:hAnsi="Times New Roman"/>
                <w:color w:val="000000"/>
                <w:sz w:val="28"/>
                <w:szCs w:val="28"/>
              </w:rPr>
              <w:t>об исполнении бюджета Песчанокопского района за 9 месяцев 2023 года</w:t>
            </w:r>
          </w:p>
        </w:tc>
      </w:tr>
      <w:tr w:rsidR="00E35D73" w:rsidRPr="00F03F91" w:rsidTr="00650CE0">
        <w:trPr>
          <w:trHeight w:val="288"/>
        </w:trPr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5D73" w:rsidRPr="00F03F91" w:rsidTr="00650CE0">
        <w:trPr>
          <w:trHeight w:val="936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</w:t>
            </w:r>
          </w:p>
        </w:tc>
      </w:tr>
      <w:tr w:rsidR="00E35D73" w:rsidRPr="00F03F91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5D73" w:rsidRPr="00F03F91" w:rsidRDefault="00E35D73" w:rsidP="00423D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9B34AD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FCC">
              <w:rPr>
                <w:b/>
                <w:bCs/>
                <w:color w:val="000000"/>
                <w:sz w:val="24"/>
                <w:szCs w:val="24"/>
              </w:rPr>
              <w:t>1236374,9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FCC">
              <w:rPr>
                <w:b/>
                <w:bCs/>
                <w:color w:val="000000"/>
                <w:sz w:val="24"/>
                <w:szCs w:val="24"/>
              </w:rPr>
              <w:t>883124,4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9B34AD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246249,6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165148,7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9B34AD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128197,1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90114,6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9B34AD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128197,1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90114,6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118156,3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79715,0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1837,6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4164,5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соответствующего уведомления (в части суммы налога, не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2346,0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1954,9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16418,6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16418,6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8410,2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8410,2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11416,2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8949,8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8949,8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-986,7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-986,7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53615,6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36364,7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7254,6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4975,8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4975,8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2278,8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2278,8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-61,9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-61,9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39600,0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28020,0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39600,0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28020,0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1773,2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1152,0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1773,2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1152,0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23726,4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4924,7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23726,4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4924,7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1963,3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20593,0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2961,4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3840,0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2330,2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2254,6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по делам, рассматриваемым в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2254,6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1513,4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1349,8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91,6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8641,0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14244,8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8269,7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13705,5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7940,8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13705,5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7940,8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249,4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249,4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</w:t>
            </w:r>
            <w:proofErr w:type="gram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318,5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88,1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88,1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83,3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213,2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213,2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213,2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213,2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3874,8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продажи земельных участков, находящихся в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3683,7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3646,7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3646,7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111,2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111,2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305,0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269,5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6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198,7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198,7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364,0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990125,2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717975,7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994704,7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716549,9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121227,6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93152,4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115822,5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89098,8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115822,5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89098,8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4053,6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4053,6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176586,7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118751,5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70104,3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70104,3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70104,3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70104,3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1667,7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1667,7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11796,5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5805,0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11796,5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5805,0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2448,8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344,6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344,6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38381,1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89669,5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38381,1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676022,7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490211,6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243,6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243,6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4300,2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2258,7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4300,2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2258,7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264121,0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179024,0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264121,0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179024,0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21877,9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8842,4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21877,9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8842,4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1104,4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1104,4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13463,5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11330,5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13463,5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11330,5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образований </w:t>
            </w: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45687,4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44460,1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45687,4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44460,1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13525,1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13525,1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1866,0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1257,2</w:t>
            </w:r>
          </w:p>
        </w:tc>
      </w:tr>
      <w:tr w:rsidR="00E35D73" w:rsidRPr="009B34AD" w:rsidTr="00650CE0">
        <w:trPr>
          <w:trHeight w:val="983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1866,0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1257,2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308393,9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228163,8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308393,9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228163,8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20867,7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14434,4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675,4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675,4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9231,2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9231,2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7500,1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4527,8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7500,1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4527,8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7500,0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7500,0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7500,0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E35D73" w:rsidRPr="00166FCC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166FCC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FCC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sz w:val="24"/>
                <w:szCs w:val="24"/>
              </w:rPr>
              <w:t>1283298,9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sz w:val="24"/>
                <w:szCs w:val="24"/>
              </w:rPr>
              <w:t>883691,2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97026,5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63156,7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9459,5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6404,5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146861,3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113064,1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42757,2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3127,3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529298,3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385597,1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103566,1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72996,9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1788,8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1223,3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346414,5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236043,1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5492,8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1778,2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исполнения бюджета (дефицит/профицит)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sz w:val="24"/>
                <w:szCs w:val="24"/>
              </w:rPr>
              <w:t>-46924,0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sz w:val="24"/>
                <w:szCs w:val="24"/>
              </w:rPr>
              <w:t>-566,8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46924,0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566,8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источники внутреннего финансирования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 бюджетам бюджетной системы Российской  Федерации из бюджетов муниципальных районов в 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-3200,0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внешнего финансирования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46924,0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3766,8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средств, всего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-1241374,9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-922734,4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-1241374,9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-922734,4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-1241374,9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-922734,4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-1241374,9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-922734,4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-1241374,9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-922734,4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средств, всего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1288298,9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926501,1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1288298,9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926501,1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1288298,9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926501,1</w:t>
            </w:r>
          </w:p>
        </w:tc>
      </w:tr>
      <w:tr w:rsidR="00E35D73" w:rsidRPr="009B34AD" w:rsidTr="00650CE0">
        <w:trPr>
          <w:trHeight w:val="31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1288298,9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926501,1</w:t>
            </w:r>
          </w:p>
        </w:tc>
      </w:tr>
      <w:tr w:rsidR="00E35D73" w:rsidRPr="009B34AD" w:rsidTr="00650CE0">
        <w:trPr>
          <w:trHeight w:val="309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057D81" w:rsidRDefault="00E35D73" w:rsidP="00423D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1288298,9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5D73" w:rsidRPr="00775EEC" w:rsidRDefault="00E35D73" w:rsidP="00423D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C">
              <w:rPr>
                <w:rFonts w:ascii="Times New Roman" w:hAnsi="Times New Roman"/>
                <w:color w:val="000000"/>
                <w:sz w:val="24"/>
                <w:szCs w:val="24"/>
              </w:rPr>
              <w:t>926501,1</w:t>
            </w:r>
          </w:p>
        </w:tc>
      </w:tr>
    </w:tbl>
    <w:p w:rsidR="00E35D73" w:rsidRPr="009B34AD" w:rsidRDefault="00E35D73" w:rsidP="00E35D73">
      <w:pPr>
        <w:rPr>
          <w:rFonts w:ascii="Times New Roman" w:hAnsi="Times New Roman"/>
          <w:sz w:val="24"/>
          <w:szCs w:val="24"/>
        </w:rPr>
      </w:pPr>
    </w:p>
    <w:p w:rsidR="00E87C58" w:rsidRDefault="00E87C58"/>
    <w:sectPr w:rsidR="00E87C58" w:rsidSect="000857DC">
      <w:foot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DC" w:rsidRDefault="000857DC" w:rsidP="00972A8C">
      <w:r>
        <w:separator/>
      </w:r>
    </w:p>
  </w:endnote>
  <w:endnote w:type="continuationSeparator" w:id="0">
    <w:p w:rsidR="000857DC" w:rsidRDefault="000857DC" w:rsidP="0097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601692"/>
      <w:docPartObj>
        <w:docPartGallery w:val="Page Numbers (Bottom of Page)"/>
        <w:docPartUnique/>
      </w:docPartObj>
    </w:sdtPr>
    <w:sdtEndPr/>
    <w:sdtContent>
      <w:p w:rsidR="000857DC" w:rsidRDefault="000857D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67">
          <w:rPr>
            <w:noProof/>
          </w:rPr>
          <w:t>18</w:t>
        </w:r>
        <w:r>
          <w:fldChar w:fldCharType="end"/>
        </w:r>
      </w:p>
    </w:sdtContent>
  </w:sdt>
  <w:p w:rsidR="000857DC" w:rsidRDefault="000857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DC" w:rsidRDefault="000857DC" w:rsidP="00972A8C">
      <w:r>
        <w:separator/>
      </w:r>
    </w:p>
  </w:footnote>
  <w:footnote w:type="continuationSeparator" w:id="0">
    <w:p w:rsidR="000857DC" w:rsidRDefault="000857DC" w:rsidP="0097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D73"/>
    <w:rsid w:val="000857DC"/>
    <w:rsid w:val="00423DEE"/>
    <w:rsid w:val="00650CE0"/>
    <w:rsid w:val="007E57D5"/>
    <w:rsid w:val="00946267"/>
    <w:rsid w:val="00972A8C"/>
    <w:rsid w:val="00D5683F"/>
    <w:rsid w:val="00E35D73"/>
    <w:rsid w:val="00E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D7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35D73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link w:val="30"/>
    <w:qFormat/>
    <w:rsid w:val="00E35D73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link w:val="40"/>
    <w:qFormat/>
    <w:rsid w:val="00E35D73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link w:val="50"/>
    <w:qFormat/>
    <w:rsid w:val="00E35D73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link w:val="60"/>
    <w:qFormat/>
    <w:rsid w:val="00E35D73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E35D73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D73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5D7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5D7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5D73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5D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5D73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35D73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E35D73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35D73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E35D73"/>
    <w:pPr>
      <w:ind w:right="5393"/>
    </w:pPr>
    <w:rPr>
      <w:sz w:val="28"/>
    </w:rPr>
  </w:style>
  <w:style w:type="character" w:customStyle="1" w:styleId="a6">
    <w:name w:val="Основной текст Знак"/>
    <w:basedOn w:val="a0"/>
    <w:link w:val="a5"/>
    <w:rsid w:val="00E35D7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E35D73"/>
    <w:pPr>
      <w:ind w:right="7" w:firstLine="851"/>
      <w:jc w:val="both"/>
    </w:pPr>
    <w:rPr>
      <w:sz w:val="28"/>
    </w:rPr>
  </w:style>
  <w:style w:type="paragraph" w:customStyle="1" w:styleId="FR1">
    <w:name w:val="FR1"/>
    <w:rsid w:val="00E35D73"/>
    <w:pPr>
      <w:widowControl w:val="0"/>
      <w:overflowPunct w:val="0"/>
      <w:autoSpaceDE w:val="0"/>
      <w:autoSpaceDN w:val="0"/>
      <w:adjustRightInd w:val="0"/>
      <w:spacing w:before="340" w:after="0" w:line="240" w:lineRule="auto"/>
      <w:ind w:left="840" w:right="1000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2">
    <w:name w:val="FR2"/>
    <w:rsid w:val="00E35D73"/>
    <w:pPr>
      <w:widowControl w:val="0"/>
      <w:overflowPunct w:val="0"/>
      <w:autoSpaceDE w:val="0"/>
      <w:autoSpaceDN w:val="0"/>
      <w:adjustRightInd w:val="0"/>
      <w:spacing w:after="0" w:line="260" w:lineRule="auto"/>
      <w:ind w:left="360" w:right="200"/>
      <w:jc w:val="center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FR3">
    <w:name w:val="FR3"/>
    <w:rsid w:val="00E35D73"/>
    <w:pPr>
      <w:keepNext/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FR5">
    <w:name w:val="FR5"/>
    <w:rsid w:val="00E35D7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31">
    <w:name w:val="Основной текст 31"/>
    <w:basedOn w:val="a"/>
    <w:rsid w:val="00E35D73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1">
    <w:name w:val="Цитата1"/>
    <w:basedOn w:val="a"/>
    <w:rsid w:val="00E35D73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ConsNormal">
    <w:name w:val="ConsNormal"/>
    <w:rsid w:val="00E35D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7">
    <w:name w:val="header"/>
    <w:basedOn w:val="a"/>
    <w:link w:val="a8"/>
    <w:rsid w:val="00E35D7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35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E35D7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E35D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E35D73"/>
    <w:pPr>
      <w:ind w:right="7" w:firstLine="851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E35D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rsid w:val="00E35D73"/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E35D73"/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ConsPlusNormal">
    <w:name w:val="ConsPlusNormal"/>
    <w:rsid w:val="00E35D7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E35D73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character" w:customStyle="1" w:styleId="ac">
    <w:name w:val="Подзаголовок Знак"/>
    <w:basedOn w:val="a0"/>
    <w:link w:val="ab"/>
    <w:rsid w:val="00E35D73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ad">
    <w:name w:val="Balloon Text"/>
    <w:basedOn w:val="a"/>
    <w:link w:val="ae"/>
    <w:semiHidden/>
    <w:rsid w:val="00E35D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35D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35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72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2A8C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6138</Words>
  <Characters>34992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Tutova</dc:creator>
  <cp:keywords/>
  <dc:description/>
  <cp:lastModifiedBy>Елена Алексеевна Мыльникова</cp:lastModifiedBy>
  <cp:revision>7</cp:revision>
  <cp:lastPrinted>2023-10-13T11:46:00Z</cp:lastPrinted>
  <dcterms:created xsi:type="dcterms:W3CDTF">2023-10-11T12:12:00Z</dcterms:created>
  <dcterms:modified xsi:type="dcterms:W3CDTF">2023-10-16T11:03:00Z</dcterms:modified>
</cp:coreProperties>
</file>