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ABB" w:rsidRDefault="00162996">
      <w:pPr>
        <w:pStyle w:val="a7"/>
        <w:jc w:val="center"/>
      </w:pPr>
      <w:r>
        <w:rPr>
          <w:rFonts w:ascii="Times New Roman" w:hAnsi="Times New Roman"/>
          <w:noProof/>
        </w:rPr>
        <w:drawing>
          <wp:inline distT="0" distB="0" distL="0" distR="0">
            <wp:extent cx="666623" cy="856869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66623" cy="856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1ABB" w:rsidRDefault="00162996">
      <w:pPr>
        <w:pStyle w:val="a7"/>
        <w:jc w:val="center"/>
      </w:pPr>
      <w:r>
        <w:rPr>
          <w:rFonts w:ascii="Times New Roman CYR" w:hAnsi="Times New Roman CYR"/>
          <w:b/>
          <w:sz w:val="28"/>
        </w:rPr>
        <w:t>Российская Федерация</w:t>
      </w:r>
    </w:p>
    <w:p w:rsidR="00D51ABB" w:rsidRDefault="00162996">
      <w:pPr>
        <w:pStyle w:val="a7"/>
        <w:jc w:val="center"/>
      </w:pPr>
      <w:r>
        <w:rPr>
          <w:rFonts w:ascii="Times New Roman CYR" w:hAnsi="Times New Roman CYR"/>
          <w:b/>
          <w:sz w:val="28"/>
        </w:rPr>
        <w:t>Ростовская область</w:t>
      </w:r>
    </w:p>
    <w:p w:rsidR="00D51ABB" w:rsidRDefault="00162996">
      <w:pPr>
        <w:pStyle w:val="a7"/>
        <w:jc w:val="center"/>
      </w:pPr>
      <w:r>
        <w:rPr>
          <w:rFonts w:ascii="Times New Roman CYR" w:hAnsi="Times New Roman CYR"/>
          <w:b/>
          <w:sz w:val="28"/>
        </w:rPr>
        <w:t>Собрание депутатов Песчанокопского района</w:t>
      </w:r>
    </w:p>
    <w:p w:rsidR="00D51ABB" w:rsidRDefault="00D51ABB">
      <w:pPr>
        <w:pStyle w:val="a7"/>
        <w:tabs>
          <w:tab w:val="center" w:pos="1701"/>
        </w:tabs>
        <w:jc w:val="center"/>
        <w:rPr>
          <w:sz w:val="12"/>
        </w:rPr>
      </w:pPr>
    </w:p>
    <w:p w:rsidR="00D51ABB" w:rsidRDefault="00162996">
      <w:pPr>
        <w:pStyle w:val="a7"/>
        <w:keepNext/>
        <w:jc w:val="center"/>
      </w:pPr>
      <w:r>
        <w:rPr>
          <w:rFonts w:ascii="Times New Roman CYR" w:hAnsi="Times New Roman CYR"/>
          <w:b/>
          <w:sz w:val="28"/>
        </w:rPr>
        <w:t>РЕШЕНИЕ</w:t>
      </w:r>
    </w:p>
    <w:p w:rsidR="00D51ABB" w:rsidRDefault="00D51ABB">
      <w:pPr>
        <w:pStyle w:val="a7"/>
        <w:keepNext/>
        <w:spacing w:line="228" w:lineRule="auto"/>
        <w:ind w:left="142" w:right="141"/>
        <w:jc w:val="center"/>
      </w:pPr>
    </w:p>
    <w:p w:rsidR="00D51ABB" w:rsidRDefault="00162996">
      <w:pPr>
        <w:pStyle w:val="a7"/>
        <w:spacing w:line="228" w:lineRule="auto"/>
        <w:ind w:left="142" w:right="141"/>
      </w:pPr>
      <w:r>
        <w:rPr>
          <w:rFonts w:ascii="Times New Roman CYR" w:hAnsi="Times New Roman CYR"/>
          <w:sz w:val="28"/>
        </w:rPr>
        <w:t xml:space="preserve"> </w:t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  <w:t xml:space="preserve">                                                            № </w:t>
      </w:r>
    </w:p>
    <w:p w:rsidR="00D51ABB" w:rsidRDefault="00D51ABB">
      <w:pPr>
        <w:keepNext/>
        <w:jc w:val="center"/>
        <w:outlineLvl w:val="5"/>
        <w:rPr>
          <w:sz w:val="14"/>
        </w:rPr>
      </w:pPr>
    </w:p>
    <w:p w:rsidR="00D51ABB" w:rsidRDefault="00162996">
      <w:pPr>
        <w:tabs>
          <w:tab w:val="left" w:pos="540"/>
        </w:tabs>
        <w:ind w:right="5527"/>
        <w:jc w:val="both"/>
        <w:outlineLvl w:val="0"/>
        <w:rPr>
          <w:sz w:val="28"/>
        </w:rPr>
      </w:pPr>
      <w:r>
        <w:rPr>
          <w:sz w:val="28"/>
        </w:rPr>
        <w:t xml:space="preserve">О внесении изменений в решение Собрания депутатов от 17.10.2008                 № 307 «Об оплате труда работников, осуществляющих техническое обеспечение деятельности органов местного самоуправления Песчанокопского района, и обслуживающего персонала органов местного самоуправления Песчанокопского района»  </w:t>
      </w:r>
    </w:p>
    <w:p w:rsidR="00D51ABB" w:rsidRDefault="00D51ABB">
      <w:pPr>
        <w:tabs>
          <w:tab w:val="left" w:pos="540"/>
        </w:tabs>
        <w:ind w:right="4535"/>
        <w:outlineLvl w:val="0"/>
        <w:rPr>
          <w:sz w:val="28"/>
        </w:rPr>
      </w:pPr>
    </w:p>
    <w:p w:rsidR="00D51ABB" w:rsidRDefault="00162996">
      <w:pPr>
        <w:tabs>
          <w:tab w:val="left" w:pos="540"/>
        </w:tabs>
        <w:ind w:right="-1" w:firstLine="709"/>
        <w:jc w:val="both"/>
        <w:outlineLvl w:val="0"/>
        <w:rPr>
          <w:sz w:val="28"/>
        </w:rPr>
      </w:pPr>
      <w:r>
        <w:rPr>
          <w:sz w:val="28"/>
        </w:rPr>
        <w:t xml:space="preserve">В целях приведения в соответствие с действующим законодательством, в соответствии с Областным законом от 18.04.2024 № 119-ЗС «О внесении изменений   </w:t>
      </w:r>
      <w:r w:rsidR="00AD1AA7">
        <w:rPr>
          <w:sz w:val="28"/>
        </w:rPr>
        <w:t>в Областной закон</w:t>
      </w:r>
      <w:r>
        <w:rPr>
          <w:sz w:val="28"/>
        </w:rPr>
        <w:t xml:space="preserve"> «Об оплате труда работников, осуществляющих техническое обеспечение деятельности государственных органов Ростовской области, и обслуживающего персонала государственных органов Ростовской области», Собрание депутатов Песчанокопского района</w:t>
      </w:r>
    </w:p>
    <w:p w:rsidR="00D51ABB" w:rsidRDefault="00D51ABB">
      <w:pPr>
        <w:jc w:val="both"/>
        <w:rPr>
          <w:sz w:val="28"/>
        </w:rPr>
      </w:pPr>
    </w:p>
    <w:p w:rsidR="00D51ABB" w:rsidRDefault="00162996">
      <w:pPr>
        <w:jc w:val="center"/>
        <w:rPr>
          <w:b/>
          <w:sz w:val="28"/>
        </w:rPr>
      </w:pPr>
      <w:r>
        <w:rPr>
          <w:b/>
          <w:sz w:val="28"/>
        </w:rPr>
        <w:t>РЕШИЛО:</w:t>
      </w:r>
    </w:p>
    <w:p w:rsidR="00D51ABB" w:rsidRDefault="00162996">
      <w:pPr>
        <w:pStyle w:val="a9"/>
        <w:numPr>
          <w:ilvl w:val="0"/>
          <w:numId w:val="1"/>
        </w:numPr>
        <w:tabs>
          <w:tab w:val="left" w:pos="540"/>
          <w:tab w:val="left" w:pos="993"/>
        </w:tabs>
        <w:ind w:left="0" w:right="-1" w:firstLine="709"/>
        <w:jc w:val="both"/>
        <w:outlineLvl w:val="0"/>
        <w:rPr>
          <w:sz w:val="28"/>
        </w:rPr>
      </w:pPr>
      <w:r>
        <w:rPr>
          <w:sz w:val="28"/>
        </w:rPr>
        <w:t>Внести в решение Собрания депутатов от 17.10.2008 № 307 «Об оплате труда работников, осуществляющих техническое обеспечение деятельности органов местного самоуправления Песчанокопского района, и обслуживающего персонала органов местного самоупра</w:t>
      </w:r>
      <w:r w:rsidR="00546469">
        <w:rPr>
          <w:sz w:val="28"/>
        </w:rPr>
        <w:t xml:space="preserve">вления Песчанокопского района» </w:t>
      </w:r>
      <w:r>
        <w:rPr>
          <w:sz w:val="28"/>
        </w:rPr>
        <w:t>следующие изменения:</w:t>
      </w:r>
    </w:p>
    <w:p w:rsidR="00D51ABB" w:rsidRDefault="00162996">
      <w:pPr>
        <w:pStyle w:val="a9"/>
        <w:numPr>
          <w:ilvl w:val="0"/>
          <w:numId w:val="2"/>
        </w:numPr>
        <w:tabs>
          <w:tab w:val="left" w:pos="540"/>
          <w:tab w:val="left" w:pos="993"/>
        </w:tabs>
        <w:ind w:left="0" w:right="-1" w:firstLine="709"/>
        <w:outlineLvl w:val="0"/>
        <w:rPr>
          <w:sz w:val="28"/>
        </w:rPr>
      </w:pPr>
      <w:r>
        <w:rPr>
          <w:sz w:val="28"/>
        </w:rPr>
        <w:t>Пункт 7.1. изложить в следующей редакции:</w:t>
      </w:r>
    </w:p>
    <w:p w:rsidR="00D51ABB" w:rsidRDefault="00162996">
      <w:pPr>
        <w:pStyle w:val="a9"/>
        <w:tabs>
          <w:tab w:val="left" w:pos="540"/>
          <w:tab w:val="left" w:pos="993"/>
        </w:tabs>
        <w:ind w:left="0" w:right="-1" w:firstLine="709"/>
        <w:outlineLvl w:val="0"/>
        <w:rPr>
          <w:rFonts w:ascii="Arial" w:hAnsi="Arial"/>
          <w:sz w:val="20"/>
        </w:rPr>
      </w:pPr>
      <w:r>
        <w:rPr>
          <w:sz w:val="28"/>
        </w:rPr>
        <w:t>«7.1. Ежемесячная надбавка за интенсивность и высокие результаты работы устанавливается техническому персоналу к должностному окладу, обслуживающему персоналу - к ставке заработной платы в следующих размерах:</w:t>
      </w:r>
    </w:p>
    <w:p w:rsidR="00D51ABB" w:rsidRDefault="00162996">
      <w:pPr>
        <w:ind w:firstLine="840"/>
        <w:jc w:val="both"/>
        <w:rPr>
          <w:rFonts w:ascii="Arial" w:hAnsi="Arial"/>
          <w:sz w:val="20"/>
        </w:rPr>
      </w:pPr>
      <w:r>
        <w:rPr>
          <w:sz w:val="28"/>
        </w:rPr>
        <w:t>1) работникам из числа технического персонала:</w:t>
      </w:r>
    </w:p>
    <w:p w:rsidR="00D51ABB" w:rsidRDefault="004675C5">
      <w:pPr>
        <w:ind w:firstLine="840"/>
        <w:jc w:val="both"/>
        <w:rPr>
          <w:rFonts w:ascii="Arial" w:hAnsi="Arial"/>
          <w:sz w:val="20"/>
        </w:rPr>
      </w:pPr>
      <w:r>
        <w:rPr>
          <w:sz w:val="28"/>
        </w:rPr>
        <w:t>старшему инспектору</w:t>
      </w:r>
      <w:r w:rsidR="00162996">
        <w:rPr>
          <w:sz w:val="28"/>
        </w:rPr>
        <w:t xml:space="preserve"> - до 250 процентов должностного оклада;</w:t>
      </w:r>
    </w:p>
    <w:p w:rsidR="00D51ABB" w:rsidRDefault="00162996">
      <w:pPr>
        <w:ind w:firstLine="840"/>
        <w:jc w:val="both"/>
        <w:rPr>
          <w:rFonts w:ascii="Arial" w:hAnsi="Arial"/>
          <w:sz w:val="20"/>
        </w:rPr>
      </w:pPr>
      <w:r>
        <w:rPr>
          <w:sz w:val="28"/>
        </w:rPr>
        <w:t>заведующим: копировально-множительным бюро,</w:t>
      </w:r>
      <w:r w:rsidR="00546469">
        <w:rPr>
          <w:sz w:val="28"/>
        </w:rPr>
        <w:t xml:space="preserve"> машинописным бюро, инспектору </w:t>
      </w:r>
      <w:r>
        <w:rPr>
          <w:sz w:val="28"/>
        </w:rPr>
        <w:t>- до 200 процентов должностного оклада;</w:t>
      </w:r>
    </w:p>
    <w:p w:rsidR="00D51ABB" w:rsidRDefault="00162996">
      <w:pPr>
        <w:ind w:firstLine="840"/>
        <w:jc w:val="both"/>
        <w:rPr>
          <w:sz w:val="28"/>
        </w:rPr>
      </w:pPr>
      <w:r>
        <w:rPr>
          <w:sz w:val="28"/>
        </w:rPr>
        <w:t>2) другим категориям работников из числа технического персонала – от 100 до 150 процентов должностного оклада;</w:t>
      </w:r>
    </w:p>
    <w:p w:rsidR="00D51ABB" w:rsidRDefault="00162996">
      <w:pPr>
        <w:ind w:firstLine="840"/>
        <w:jc w:val="both"/>
        <w:rPr>
          <w:rFonts w:ascii="Arial" w:hAnsi="Arial"/>
          <w:sz w:val="20"/>
        </w:rPr>
      </w:pPr>
      <w:r>
        <w:rPr>
          <w:sz w:val="28"/>
        </w:rPr>
        <w:lastRenderedPageBreak/>
        <w:t>3) работникам из числа обслуживающего персонала - до 50 процентов ставки заработной платы.</w:t>
      </w:r>
    </w:p>
    <w:p w:rsidR="00D51ABB" w:rsidRDefault="00162996">
      <w:pPr>
        <w:ind w:firstLine="840"/>
        <w:jc w:val="both"/>
        <w:rPr>
          <w:rFonts w:ascii="Arial" w:hAnsi="Arial"/>
          <w:sz w:val="20"/>
        </w:rPr>
      </w:pPr>
      <w:r>
        <w:rPr>
          <w:sz w:val="28"/>
        </w:rPr>
        <w:t>Ежемесячная надбавка к должностному окладу технического персонала, к ставке заработной платы обслуживающего персонала за интенсивность и высокие результаты работы выплачивается за фактически отработанное время.</w:t>
      </w:r>
    </w:p>
    <w:p w:rsidR="00D51ABB" w:rsidRDefault="00162996">
      <w:pPr>
        <w:ind w:firstLine="840"/>
        <w:jc w:val="both"/>
        <w:rPr>
          <w:sz w:val="28"/>
        </w:rPr>
      </w:pPr>
      <w:r>
        <w:rPr>
          <w:sz w:val="28"/>
        </w:rPr>
        <w:t>Условия и порядок выплаты ежемесячной надбавки к должностному окладу технического персонала, к ставке заработной платы обслуживающего персонала за интенсивность и высокие результаты работы определяются нормативными правовыми актами соответствующего органа местного самоуправления.».</w:t>
      </w:r>
    </w:p>
    <w:p w:rsidR="00C66665" w:rsidRPr="00C66665" w:rsidRDefault="00C66665" w:rsidP="00C66665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66665">
        <w:rPr>
          <w:sz w:val="28"/>
          <w:szCs w:val="28"/>
        </w:rPr>
        <w:t xml:space="preserve">   2.Пункт 7.3. изложить в следующей редакции:</w:t>
      </w:r>
    </w:p>
    <w:p w:rsidR="00C66665" w:rsidRDefault="00C66665" w:rsidP="00C66665">
      <w:pPr>
        <w:pStyle w:val="ConsPlusNormal"/>
        <w:widowControl/>
        <w:ind w:firstLine="8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«7.3. Техническому персоналу и обслуживающему персоналу выплачивается премия по результатам работы за месяц в следующих размерах:</w:t>
      </w:r>
    </w:p>
    <w:p w:rsidR="00C66665" w:rsidRDefault="00C66665" w:rsidP="00C66665">
      <w:pPr>
        <w:pStyle w:val="ConsPlusNormal"/>
        <w:widowControl/>
        <w:ind w:firstLine="8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руководителям, старшим инспекторам, инспекторам из числа технического персонала - до 50 процентов должностного оклада;</w:t>
      </w:r>
    </w:p>
    <w:p w:rsidR="00C66665" w:rsidRDefault="00C66665" w:rsidP="00C66665">
      <w:pPr>
        <w:pStyle w:val="ConsPlusNormal"/>
        <w:widowControl/>
        <w:ind w:firstLine="8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другим категориям работников из числа технического персонала - до 25 процентов должностного оклада;</w:t>
      </w:r>
    </w:p>
    <w:p w:rsidR="00C66665" w:rsidRDefault="00C66665" w:rsidP="00C66665">
      <w:pPr>
        <w:pStyle w:val="ConsPlusNormal"/>
        <w:widowControl/>
        <w:ind w:firstLine="8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рабочим из числа обслуживающего персонала, тарифицируемым по 1-3 разрядам, - до 25 процентов ставки заработной платы;</w:t>
      </w:r>
    </w:p>
    <w:p w:rsidR="00C66665" w:rsidRDefault="00C66665" w:rsidP="00C66665">
      <w:pPr>
        <w:pStyle w:val="ConsPlusNormal"/>
        <w:widowControl/>
        <w:ind w:firstLine="8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рабочим из числа обслуживающего персонала, тарифицируемым по 4-8 разрядам, и высококвалифицированным рабочим - до 50 процентов ставки заработной платы.</w:t>
      </w:r>
    </w:p>
    <w:p w:rsidR="00C66665" w:rsidRDefault="00C66665" w:rsidP="00C66665">
      <w:pPr>
        <w:pStyle w:val="ConsPlusNormal"/>
        <w:widowControl/>
        <w:ind w:firstLine="8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пределах утвержденного фонда оплаты труда премирование может также производиться по результатам выполнения разовых и иных поручений, а также в других случаях, предусмотренных нормативными правовыми актами соответствующего органа местного самоуправления.</w:t>
      </w:r>
    </w:p>
    <w:p w:rsidR="00C66665" w:rsidRDefault="00C66665" w:rsidP="00C66665">
      <w:pPr>
        <w:pStyle w:val="ConsPlusNormal"/>
        <w:widowControl/>
        <w:ind w:firstLine="8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Техническому персоналу в пределах утвержденного фонда оплаты труда может быть выплачена премия в размере двух должностных окладов по результатам работы за год.</w:t>
      </w:r>
    </w:p>
    <w:p w:rsidR="00C66665" w:rsidRPr="00C66665" w:rsidRDefault="00C66665" w:rsidP="00C66665">
      <w:pPr>
        <w:pStyle w:val="ConsPlusNormal"/>
        <w:widowControl/>
        <w:ind w:firstLine="8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Условия и порядок премирования технического персонала и обслуживающего персонала определяются нормативными правовыми актами соответствующего органа местного самоуправления.».</w:t>
      </w:r>
    </w:p>
    <w:p w:rsidR="00D51ABB" w:rsidRDefault="00C66665">
      <w:pPr>
        <w:ind w:firstLine="840"/>
        <w:jc w:val="both"/>
        <w:rPr>
          <w:rFonts w:ascii="Arial" w:hAnsi="Arial"/>
          <w:sz w:val="20"/>
        </w:rPr>
      </w:pPr>
      <w:r>
        <w:rPr>
          <w:sz w:val="28"/>
        </w:rPr>
        <w:t>3</w:t>
      </w:r>
      <w:r w:rsidR="00162996">
        <w:rPr>
          <w:sz w:val="28"/>
        </w:rPr>
        <w:t xml:space="preserve">.Пункт 9.2. изложить в следующей редакции: </w:t>
      </w:r>
    </w:p>
    <w:p w:rsidR="00D51ABB" w:rsidRDefault="00162996">
      <w:pPr>
        <w:pStyle w:val="a9"/>
        <w:tabs>
          <w:tab w:val="left" w:pos="540"/>
          <w:tab w:val="left" w:pos="993"/>
        </w:tabs>
        <w:ind w:left="0" w:right="-1" w:firstLine="709"/>
        <w:outlineLvl w:val="0"/>
        <w:rPr>
          <w:rFonts w:ascii="Arial" w:hAnsi="Arial"/>
          <w:sz w:val="20"/>
        </w:rPr>
      </w:pPr>
      <w:r>
        <w:rPr>
          <w:sz w:val="28"/>
        </w:rPr>
        <w:t>«9.2. При утверждении фондов оплаты труда сверх суммы средств, направляемых для выплаты должностных окладов техническому персоналу, предусматриваются следующие средства на выплату (в расчете на год):</w:t>
      </w:r>
    </w:p>
    <w:p w:rsidR="00D51ABB" w:rsidRDefault="00162996">
      <w:pPr>
        <w:ind w:firstLine="840"/>
        <w:jc w:val="both"/>
        <w:rPr>
          <w:rFonts w:ascii="Arial" w:hAnsi="Arial"/>
          <w:sz w:val="20"/>
        </w:rPr>
      </w:pPr>
      <w:r>
        <w:rPr>
          <w:sz w:val="28"/>
        </w:rPr>
        <w:t>1) ежемесячной надбавки к должностному окладу за интенсивность и высокие результаты работы:</w:t>
      </w:r>
    </w:p>
    <w:p w:rsidR="004675C5" w:rsidRDefault="004675C5" w:rsidP="004675C5">
      <w:pPr>
        <w:ind w:firstLine="840"/>
        <w:jc w:val="both"/>
        <w:rPr>
          <w:sz w:val="28"/>
        </w:rPr>
      </w:pPr>
      <w:r>
        <w:rPr>
          <w:sz w:val="28"/>
        </w:rPr>
        <w:t>старшему инспектору – в размере 30 должностных окладов;</w:t>
      </w:r>
    </w:p>
    <w:p w:rsidR="00D51ABB" w:rsidRDefault="007478F0">
      <w:pPr>
        <w:ind w:firstLine="840"/>
        <w:jc w:val="both"/>
        <w:rPr>
          <w:rFonts w:ascii="Arial" w:hAnsi="Arial"/>
          <w:sz w:val="20"/>
        </w:rPr>
      </w:pPr>
      <w:r>
        <w:rPr>
          <w:sz w:val="28"/>
        </w:rPr>
        <w:t>заведующим:</w:t>
      </w:r>
      <w:r w:rsidR="00162996">
        <w:rPr>
          <w:sz w:val="28"/>
        </w:rPr>
        <w:t xml:space="preserve"> копировально-множительным бюро</w:t>
      </w:r>
      <w:r w:rsidR="00587CAB">
        <w:rPr>
          <w:sz w:val="28"/>
        </w:rPr>
        <w:t xml:space="preserve">, </w:t>
      </w:r>
      <w:r>
        <w:rPr>
          <w:sz w:val="28"/>
        </w:rPr>
        <w:t>ма</w:t>
      </w:r>
      <w:r w:rsidR="004675C5">
        <w:rPr>
          <w:sz w:val="28"/>
        </w:rPr>
        <w:t>шинописным</w:t>
      </w:r>
      <w:r>
        <w:rPr>
          <w:sz w:val="28"/>
        </w:rPr>
        <w:t xml:space="preserve"> бюро, </w:t>
      </w:r>
      <w:r w:rsidR="00587CAB">
        <w:rPr>
          <w:sz w:val="28"/>
        </w:rPr>
        <w:t>инспектору</w:t>
      </w:r>
      <w:r w:rsidR="004675C5">
        <w:rPr>
          <w:sz w:val="28"/>
        </w:rPr>
        <w:t xml:space="preserve"> - в размере 24</w:t>
      </w:r>
      <w:r w:rsidR="00162996">
        <w:rPr>
          <w:sz w:val="28"/>
        </w:rPr>
        <w:t xml:space="preserve"> должностных окладов;</w:t>
      </w:r>
    </w:p>
    <w:p w:rsidR="00D51ABB" w:rsidRDefault="00162996">
      <w:pPr>
        <w:ind w:firstLine="840"/>
        <w:jc w:val="both"/>
        <w:rPr>
          <w:sz w:val="28"/>
        </w:rPr>
      </w:pPr>
      <w:r>
        <w:rPr>
          <w:sz w:val="28"/>
        </w:rPr>
        <w:t>другим категориям работников из числа технического персонала - в размере 18 должностных окладов;</w:t>
      </w:r>
    </w:p>
    <w:p w:rsidR="00D51ABB" w:rsidRDefault="00162996">
      <w:pPr>
        <w:ind w:firstLine="840"/>
        <w:jc w:val="both"/>
        <w:rPr>
          <w:rFonts w:ascii="Arial" w:hAnsi="Arial"/>
          <w:sz w:val="20"/>
        </w:rPr>
      </w:pPr>
      <w:r>
        <w:rPr>
          <w:sz w:val="28"/>
        </w:rPr>
        <w:t>2) ежемесячной надбавки к должностному окладу за выслугу лет - в размере 3 должностных окладов;</w:t>
      </w:r>
    </w:p>
    <w:p w:rsidR="00587CAB" w:rsidRDefault="00162996">
      <w:pPr>
        <w:ind w:firstLine="840"/>
        <w:jc w:val="both"/>
        <w:rPr>
          <w:sz w:val="28"/>
        </w:rPr>
      </w:pPr>
      <w:r>
        <w:rPr>
          <w:sz w:val="28"/>
        </w:rPr>
        <w:lastRenderedPageBreak/>
        <w:t>3) премии по результатам работы за месяц</w:t>
      </w:r>
      <w:r w:rsidR="00587CAB">
        <w:rPr>
          <w:sz w:val="28"/>
        </w:rPr>
        <w:t>:</w:t>
      </w:r>
    </w:p>
    <w:p w:rsidR="00D51ABB" w:rsidRDefault="00587CAB">
      <w:pPr>
        <w:ind w:firstLine="840"/>
        <w:jc w:val="both"/>
        <w:rPr>
          <w:sz w:val="28"/>
        </w:rPr>
      </w:pPr>
      <w:r>
        <w:rPr>
          <w:sz w:val="28"/>
        </w:rPr>
        <w:t>старшему инспектору, инспектору - в размере 6</w:t>
      </w:r>
      <w:r w:rsidR="00162996">
        <w:rPr>
          <w:sz w:val="28"/>
        </w:rPr>
        <w:t xml:space="preserve"> должностных окладов;</w:t>
      </w:r>
    </w:p>
    <w:p w:rsidR="00587CAB" w:rsidRDefault="00587CAB">
      <w:pPr>
        <w:ind w:firstLine="840"/>
        <w:jc w:val="both"/>
        <w:rPr>
          <w:rFonts w:ascii="Arial" w:hAnsi="Arial"/>
          <w:sz w:val="20"/>
        </w:rPr>
      </w:pPr>
      <w:r>
        <w:rPr>
          <w:sz w:val="28"/>
        </w:rPr>
        <w:t>другим категориям работников из числа технического персонала - в размере 3 должностных окладов;</w:t>
      </w:r>
    </w:p>
    <w:p w:rsidR="00D51ABB" w:rsidRDefault="00162996">
      <w:pPr>
        <w:ind w:firstLine="840"/>
        <w:jc w:val="both"/>
        <w:rPr>
          <w:rFonts w:ascii="Arial" w:hAnsi="Arial"/>
          <w:sz w:val="20"/>
        </w:rPr>
      </w:pPr>
      <w:r>
        <w:rPr>
          <w:sz w:val="28"/>
        </w:rPr>
        <w:t>4) материальной помощи - в размере 2 должностных окладов;</w:t>
      </w:r>
    </w:p>
    <w:p w:rsidR="00D51ABB" w:rsidRDefault="00162996">
      <w:pPr>
        <w:ind w:firstLine="840"/>
        <w:jc w:val="both"/>
        <w:rPr>
          <w:rFonts w:ascii="Arial" w:hAnsi="Arial"/>
          <w:sz w:val="20"/>
        </w:rPr>
      </w:pPr>
      <w:r>
        <w:rPr>
          <w:sz w:val="28"/>
        </w:rPr>
        <w:t>5) ежемесячная доплата к должностному окладу за работу в ночное время выплачивается в пределах утвержденного фонда оплаты труда.».</w:t>
      </w:r>
    </w:p>
    <w:p w:rsidR="00D51ABB" w:rsidRDefault="00162996">
      <w:pPr>
        <w:pStyle w:val="Con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Опубликовать настоящее решение в вестнике Администрации Песчанокопского района «Район официальный». </w:t>
      </w:r>
    </w:p>
    <w:p w:rsidR="00D51ABB" w:rsidRDefault="00162996">
      <w:pPr>
        <w:ind w:firstLine="709"/>
        <w:jc w:val="both"/>
        <w:outlineLvl w:val="0"/>
        <w:rPr>
          <w:sz w:val="28"/>
        </w:rPr>
      </w:pPr>
      <w:r>
        <w:rPr>
          <w:sz w:val="28"/>
        </w:rPr>
        <w:t xml:space="preserve">3. Настоящее решение вступает в силу со </w:t>
      </w:r>
      <w:r w:rsidR="00546469">
        <w:rPr>
          <w:sz w:val="28"/>
        </w:rPr>
        <w:t xml:space="preserve">дня официального опубликования </w:t>
      </w:r>
      <w:r>
        <w:rPr>
          <w:sz w:val="28"/>
        </w:rPr>
        <w:t>и распространяет</w:t>
      </w:r>
      <w:r w:rsidR="00546469">
        <w:rPr>
          <w:sz w:val="28"/>
        </w:rPr>
        <w:t>ся на правоотношения, возникшие с 1 января</w:t>
      </w:r>
      <w:r>
        <w:rPr>
          <w:sz w:val="28"/>
        </w:rPr>
        <w:t xml:space="preserve"> 2024 года. </w:t>
      </w:r>
    </w:p>
    <w:p w:rsidR="00D51ABB" w:rsidRDefault="00162996">
      <w:pPr>
        <w:pStyle w:val="ConsNormal"/>
        <w:widowControl/>
        <w:ind w:firstLine="709"/>
        <w:jc w:val="both"/>
        <w:rPr>
          <w:rFonts w:ascii="Times New Roman CYR" w:hAnsi="Times New Roman CYR"/>
        </w:rPr>
      </w:pPr>
      <w:r>
        <w:rPr>
          <w:rFonts w:ascii="Times New Roman" w:hAnsi="Times New Roman"/>
          <w:sz w:val="28"/>
        </w:rPr>
        <w:t xml:space="preserve">4. </w:t>
      </w:r>
      <w:r w:rsidR="00573CD8" w:rsidRPr="00573CD8">
        <w:rPr>
          <w:rFonts w:ascii="Times New Roman" w:hAnsi="Times New Roman"/>
          <w:sz w:val="28"/>
        </w:rPr>
        <w:t>Контроль за исполнением решения воз</w:t>
      </w:r>
      <w:r w:rsidR="00573CD8">
        <w:rPr>
          <w:rFonts w:ascii="Times New Roman" w:hAnsi="Times New Roman"/>
          <w:sz w:val="28"/>
        </w:rPr>
        <w:t xml:space="preserve">ложить на комиссию по местному </w:t>
      </w:r>
      <w:r w:rsidR="00573CD8" w:rsidRPr="00573CD8">
        <w:rPr>
          <w:rFonts w:ascii="Times New Roman" w:hAnsi="Times New Roman"/>
          <w:sz w:val="28"/>
        </w:rPr>
        <w:t>самоуправлению, охране общественного порядка и профилактике межнациональных и межэтнических конфликтов (Марков А.А.).</w:t>
      </w:r>
    </w:p>
    <w:p w:rsidR="00D51ABB" w:rsidRDefault="00162996">
      <w:pPr>
        <w:ind w:left="6" w:firstLine="839"/>
        <w:jc w:val="both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pacing w:val="-1"/>
          <w:sz w:val="28"/>
        </w:rPr>
        <w:t> </w:t>
      </w:r>
      <w:bookmarkStart w:id="0" w:name="_GoBack"/>
      <w:bookmarkEnd w:id="0"/>
    </w:p>
    <w:p w:rsidR="00D51ABB" w:rsidRDefault="00D51ABB">
      <w:pPr>
        <w:ind w:left="6" w:firstLine="839"/>
        <w:jc w:val="both"/>
        <w:rPr>
          <w:rFonts w:ascii="Times New Roman CYR" w:hAnsi="Times New Roman CYR"/>
          <w:sz w:val="20"/>
        </w:rPr>
      </w:pPr>
    </w:p>
    <w:p w:rsidR="00D51ABB" w:rsidRDefault="00D51ABB">
      <w:pPr>
        <w:pStyle w:val="ConsNormal"/>
        <w:widowControl/>
        <w:ind w:firstLine="540"/>
        <w:jc w:val="both"/>
        <w:rPr>
          <w:rFonts w:ascii="Times New Roman" w:hAnsi="Times New Roman"/>
          <w:sz w:val="28"/>
        </w:rPr>
      </w:pPr>
    </w:p>
    <w:p w:rsidR="00D51ABB" w:rsidRDefault="00162996">
      <w:pPr>
        <w:pStyle w:val="ConsNormal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Собрания депутатов-</w:t>
      </w:r>
    </w:p>
    <w:p w:rsidR="00D51ABB" w:rsidRDefault="00162996">
      <w:pPr>
        <w:pStyle w:val="ConsNormal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Песчанокопского района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   И.Н. Хребтова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:rsidR="00D51ABB" w:rsidRDefault="00D51ABB">
      <w:pPr>
        <w:pStyle w:val="ConsNormal"/>
        <w:widowControl/>
        <w:ind w:firstLine="0"/>
        <w:jc w:val="both"/>
        <w:rPr>
          <w:rFonts w:ascii="Times New Roman" w:hAnsi="Times New Roman"/>
          <w:sz w:val="28"/>
        </w:rPr>
      </w:pPr>
    </w:p>
    <w:p w:rsidR="00D51ABB" w:rsidRDefault="00162996">
      <w:pPr>
        <w:tabs>
          <w:tab w:val="center" w:pos="7654"/>
          <w:tab w:val="left" w:pos="13425"/>
        </w:tabs>
        <w:rPr>
          <w:sz w:val="28"/>
        </w:rPr>
      </w:pPr>
      <w:r>
        <w:rPr>
          <w:sz w:val="28"/>
        </w:rPr>
        <w:t>Решение вносит:</w:t>
      </w:r>
    </w:p>
    <w:p w:rsidR="00D51ABB" w:rsidRDefault="00162996">
      <w:pPr>
        <w:tabs>
          <w:tab w:val="center" w:pos="7654"/>
          <w:tab w:val="left" w:pos="13425"/>
        </w:tabs>
        <w:rPr>
          <w:sz w:val="28"/>
        </w:rPr>
      </w:pPr>
      <w:r>
        <w:rPr>
          <w:sz w:val="28"/>
        </w:rPr>
        <w:t xml:space="preserve">глава Администрации </w:t>
      </w:r>
    </w:p>
    <w:p w:rsidR="00D51ABB" w:rsidRDefault="00162996">
      <w:pPr>
        <w:tabs>
          <w:tab w:val="center" w:pos="7654"/>
          <w:tab w:val="left" w:pos="13425"/>
        </w:tabs>
      </w:pPr>
      <w:r>
        <w:rPr>
          <w:sz w:val="28"/>
        </w:rPr>
        <w:t>Песчанокопского района</w:t>
      </w:r>
    </w:p>
    <w:sectPr w:rsidR="00D51ABB">
      <w:footerReference w:type="default" r:id="rId8"/>
      <w:pgSz w:w="11906" w:h="16838"/>
      <w:pgMar w:top="1134" w:right="567" w:bottom="1134" w:left="1134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45A" w:rsidRDefault="00F4445A">
      <w:r>
        <w:separator/>
      </w:r>
    </w:p>
  </w:endnote>
  <w:endnote w:type="continuationSeparator" w:id="0">
    <w:p w:rsidR="00F4445A" w:rsidRDefault="00F44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ABB" w:rsidRDefault="00162996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573CD8">
      <w:rPr>
        <w:noProof/>
      </w:rPr>
      <w:t>2</w:t>
    </w:r>
    <w:r>
      <w:fldChar w:fldCharType="end"/>
    </w:r>
  </w:p>
  <w:p w:rsidR="00D51ABB" w:rsidRDefault="00D51ABB">
    <w:pPr>
      <w:pStyle w:val="a5"/>
      <w:jc w:val="right"/>
    </w:pPr>
  </w:p>
  <w:p w:rsidR="00D51ABB" w:rsidRDefault="00D51AB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45A" w:rsidRDefault="00F4445A">
      <w:r>
        <w:separator/>
      </w:r>
    </w:p>
  </w:footnote>
  <w:footnote w:type="continuationSeparator" w:id="0">
    <w:p w:rsidR="00F4445A" w:rsidRDefault="00F444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4150CD"/>
    <w:multiLevelType w:val="multilevel"/>
    <w:tmpl w:val="FC30657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2F44044"/>
    <w:multiLevelType w:val="multilevel"/>
    <w:tmpl w:val="75B2B03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1ABB"/>
    <w:rsid w:val="00162996"/>
    <w:rsid w:val="004430B5"/>
    <w:rsid w:val="004675C5"/>
    <w:rsid w:val="004D78DD"/>
    <w:rsid w:val="00546469"/>
    <w:rsid w:val="00573CD8"/>
    <w:rsid w:val="00587CAB"/>
    <w:rsid w:val="007478F0"/>
    <w:rsid w:val="008F0137"/>
    <w:rsid w:val="00A729C4"/>
    <w:rsid w:val="00AD1AA7"/>
    <w:rsid w:val="00C66665"/>
    <w:rsid w:val="00D51ABB"/>
    <w:rsid w:val="00F4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3870B"/>
  <w15:docId w15:val="{A479187E-FF4A-4E50-BF7A-153B1F4E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  <w:sz w:val="24"/>
    </w:rPr>
  </w:style>
  <w:style w:type="paragraph" w:customStyle="1" w:styleId="a7">
    <w:name w:val="Базовый"/>
    <w:link w:val="a8"/>
    <w:pPr>
      <w:widowControl w:val="0"/>
      <w:spacing w:line="100" w:lineRule="atLeast"/>
    </w:pPr>
    <w:rPr>
      <w:rFonts w:ascii="Arial" w:hAnsi="Arial"/>
      <w:sz w:val="24"/>
    </w:rPr>
  </w:style>
  <w:style w:type="character" w:customStyle="1" w:styleId="a8">
    <w:name w:val="Базовый"/>
    <w:link w:val="a7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styleId="a9">
    <w:name w:val="List Paragraph"/>
    <w:basedOn w:val="a"/>
    <w:link w:val="aa"/>
    <w:pPr>
      <w:ind w:left="720"/>
      <w:contextualSpacing/>
    </w:pPr>
  </w:style>
  <w:style w:type="character" w:customStyle="1" w:styleId="aa">
    <w:name w:val="Абзац списка Знак"/>
    <w:basedOn w:val="1"/>
    <w:link w:val="a9"/>
    <w:rPr>
      <w:rFonts w:ascii="Times New Roman" w:hAnsi="Times New Roman"/>
      <w:sz w:val="24"/>
    </w:rPr>
  </w:style>
  <w:style w:type="paragraph" w:customStyle="1" w:styleId="13">
    <w:name w:val="Гиперссылка1"/>
    <w:link w:val="ab"/>
    <w:rPr>
      <w:color w:val="0000FF"/>
      <w:u w:val="single"/>
    </w:rPr>
  </w:style>
  <w:style w:type="character" w:styleId="ab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Normal">
    <w:name w:val="ConsPlusNormal"/>
    <w:rsid w:val="00C66665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Людмила Ивановна Прудникова</cp:lastModifiedBy>
  <cp:revision>6</cp:revision>
  <dcterms:created xsi:type="dcterms:W3CDTF">2024-05-15T13:05:00Z</dcterms:created>
  <dcterms:modified xsi:type="dcterms:W3CDTF">2024-05-22T12:47:00Z</dcterms:modified>
</cp:coreProperties>
</file>