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69" w:rsidRDefault="003D4969" w:rsidP="003D4969">
      <w:pPr>
        <w:pStyle w:val="af3"/>
        <w:spacing w:line="214" w:lineRule="auto"/>
        <w:jc w:val="center"/>
        <w:textAlignment w:val="baseline"/>
      </w:pPr>
      <w:r>
        <w:rPr>
          <w:noProof/>
          <w:lang w:eastAsia="ru-RU" w:bidi="ar-SA"/>
        </w:rPr>
        <w:drawing>
          <wp:inline distT="0" distB="0" distL="0" distR="0" wp14:anchorId="379B571C" wp14:editId="5D698D62">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3D4969" w:rsidRDefault="003D4969" w:rsidP="003D4969">
      <w:pPr>
        <w:pStyle w:val="af3"/>
        <w:spacing w:line="214" w:lineRule="auto"/>
        <w:jc w:val="center"/>
        <w:textAlignment w:val="baseline"/>
      </w:pPr>
      <w:r>
        <w:rPr>
          <w:rFonts w:ascii="Times New Roman CYR" w:hAnsi="Times New Roman CYR"/>
          <w:b/>
          <w:sz w:val="28"/>
          <w:szCs w:val="28"/>
        </w:rPr>
        <w:t>Российская Федерация</w:t>
      </w:r>
    </w:p>
    <w:p w:rsidR="003D4969" w:rsidRDefault="003D4969" w:rsidP="003D4969">
      <w:pPr>
        <w:pStyle w:val="af3"/>
        <w:spacing w:line="214" w:lineRule="auto"/>
        <w:jc w:val="center"/>
        <w:textAlignment w:val="baseline"/>
      </w:pPr>
      <w:r>
        <w:rPr>
          <w:rFonts w:ascii="Times New Roman CYR" w:hAnsi="Times New Roman CYR"/>
          <w:b/>
          <w:sz w:val="28"/>
          <w:szCs w:val="28"/>
        </w:rPr>
        <w:t>Ростовская область</w:t>
      </w:r>
    </w:p>
    <w:p w:rsidR="003D4969" w:rsidRDefault="003D4969" w:rsidP="003D4969">
      <w:pPr>
        <w:pStyle w:val="af3"/>
        <w:spacing w:line="214" w:lineRule="auto"/>
        <w:jc w:val="center"/>
        <w:textAlignment w:val="baseline"/>
      </w:pPr>
      <w:r>
        <w:rPr>
          <w:rFonts w:ascii="Times New Roman CYR" w:hAnsi="Times New Roman CYR"/>
          <w:b/>
          <w:sz w:val="28"/>
          <w:szCs w:val="28"/>
        </w:rPr>
        <w:t>Собрание депутатов Песчанокопского района</w:t>
      </w:r>
    </w:p>
    <w:p w:rsidR="003D4969" w:rsidRPr="001E7759" w:rsidRDefault="003D4969" w:rsidP="003D4969">
      <w:pPr>
        <w:pStyle w:val="af3"/>
        <w:tabs>
          <w:tab w:val="center" w:pos="1701"/>
        </w:tabs>
        <w:spacing w:line="214" w:lineRule="auto"/>
        <w:jc w:val="center"/>
        <w:textAlignment w:val="baseline"/>
        <w:rPr>
          <w:sz w:val="12"/>
        </w:rPr>
      </w:pPr>
    </w:p>
    <w:p w:rsidR="003D4969" w:rsidRDefault="003D4969" w:rsidP="003D4969">
      <w:pPr>
        <w:pStyle w:val="af3"/>
        <w:keepNext/>
        <w:spacing w:line="214" w:lineRule="auto"/>
        <w:jc w:val="center"/>
        <w:textAlignment w:val="baseline"/>
      </w:pPr>
      <w:r>
        <w:rPr>
          <w:rFonts w:ascii="Times New Roman CYR" w:hAnsi="Times New Roman CYR"/>
          <w:b/>
          <w:sz w:val="28"/>
          <w:szCs w:val="28"/>
        </w:rPr>
        <w:t>РЕШЕНИЕ</w:t>
      </w:r>
    </w:p>
    <w:p w:rsidR="003D4969" w:rsidRDefault="003D4969" w:rsidP="003D4969">
      <w:pPr>
        <w:pStyle w:val="af3"/>
        <w:keepNext/>
        <w:spacing w:line="214" w:lineRule="auto"/>
        <w:ind w:left="142" w:right="141"/>
        <w:jc w:val="center"/>
        <w:textAlignment w:val="baseline"/>
      </w:pPr>
    </w:p>
    <w:p w:rsidR="003D4969" w:rsidRDefault="003D4969" w:rsidP="003D4969">
      <w:pPr>
        <w:pStyle w:val="af3"/>
        <w:spacing w:line="214" w:lineRule="auto"/>
        <w:ind w:left="142" w:right="141"/>
        <w:textAlignment w:val="baseline"/>
      </w:pPr>
      <w:r>
        <w:rPr>
          <w:rFonts w:ascii="Times New Roman CYR" w:hAnsi="Times New Roman CYR"/>
          <w:sz w:val="28"/>
          <w:szCs w:val="20"/>
        </w:rPr>
        <w:t xml:space="preserve">25.12.2025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w:t>
      </w:r>
      <w:r>
        <w:rPr>
          <w:rFonts w:ascii="Times New Roman CYR" w:hAnsi="Times New Roman CYR"/>
          <w:sz w:val="28"/>
          <w:szCs w:val="20"/>
        </w:rPr>
        <w:t xml:space="preserve">                           № 294</w:t>
      </w:r>
    </w:p>
    <w:p w:rsidR="00246290" w:rsidRPr="00246290" w:rsidRDefault="00246290" w:rsidP="00405FD0">
      <w:pPr>
        <w:widowControl w:val="0"/>
        <w:tabs>
          <w:tab w:val="left" w:pos="3600"/>
          <w:tab w:val="left" w:pos="5054"/>
          <w:tab w:val="left" w:pos="9498"/>
        </w:tabs>
        <w:suppressAutoHyphens/>
        <w:overflowPunct w:val="0"/>
        <w:autoSpaceDE w:val="0"/>
        <w:spacing w:after="0" w:line="216" w:lineRule="auto"/>
        <w:ind w:right="5102"/>
        <w:jc w:val="both"/>
        <w:rPr>
          <w:rFonts w:ascii="Times New Roman" w:eastAsia="Lucida Sans Unicode" w:hAnsi="Times New Roman" w:cs="Times New Roman"/>
          <w:bCs/>
          <w:sz w:val="28"/>
          <w:szCs w:val="28"/>
          <w:lang w:eastAsia="ru-RU"/>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EB2217">
        <w:rPr>
          <w:rFonts w:ascii="Times New Roman" w:hAnsi="Times New Roman" w:cs="Times New Roman"/>
          <w:sz w:val="28"/>
          <w:szCs w:val="28"/>
        </w:rPr>
        <w:t>от 20.12.2017 №214</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405FD0">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нормативов градостроительного проектирования муниципального образования «</w:t>
      </w:r>
      <w:proofErr w:type="spellStart"/>
      <w:r w:rsidR="00EB2217">
        <w:rPr>
          <w:rFonts w:ascii="Times New Roman" w:eastAsia="Times New Roman" w:hAnsi="Times New Roman" w:cs="Times New Roman"/>
          <w:sz w:val="28"/>
          <w:szCs w:val="28"/>
          <w:lang w:eastAsia="ar-SA"/>
        </w:rPr>
        <w:t>Краснополянское</w:t>
      </w:r>
      <w:proofErr w:type="spellEnd"/>
      <w:r w:rsidRPr="00246290">
        <w:rPr>
          <w:rFonts w:ascii="Times New Roman" w:eastAsia="Times New Roman" w:hAnsi="Times New Roman" w:cs="Times New Roman"/>
          <w:sz w:val="28"/>
          <w:szCs w:val="28"/>
          <w:lang w:eastAsia="ar-SA"/>
        </w:rPr>
        <w:t xml:space="preserve"> сельское поселение»</w:t>
      </w:r>
      <w:r w:rsidR="00405FD0">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r w:rsidR="00F706B2">
        <w:rPr>
          <w:rFonts w:ascii="Times New Roman" w:eastAsia="Lucida Sans Unicode" w:hAnsi="Times New Roman" w:cs="Times New Roman"/>
          <w:bCs/>
          <w:sz w:val="28"/>
          <w:szCs w:val="28"/>
          <w:lang w:eastAsia="ru-RU"/>
        </w:rPr>
        <w:t>»</w:t>
      </w:r>
    </w:p>
    <w:p w:rsidR="00246290" w:rsidRDefault="00246290" w:rsidP="00405FD0">
      <w:pPr>
        <w:pStyle w:val="a3"/>
        <w:spacing w:line="216" w:lineRule="auto"/>
        <w:ind w:right="5000"/>
        <w:jc w:val="both"/>
        <w:rPr>
          <w:rFonts w:ascii="Times New Roman" w:hAnsi="Times New Roman" w:cs="Times New Roman"/>
          <w:sz w:val="28"/>
          <w:szCs w:val="28"/>
        </w:rPr>
      </w:pPr>
    </w:p>
    <w:p w:rsidR="00246290" w:rsidRDefault="00246290" w:rsidP="00405FD0">
      <w:pPr>
        <w:suppressAutoHyphens/>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246290" w:rsidRPr="00405FD0" w:rsidRDefault="00405FD0" w:rsidP="00405FD0">
      <w:pPr>
        <w:spacing w:after="0" w:line="216" w:lineRule="auto"/>
        <w:jc w:val="center"/>
        <w:rPr>
          <w:rFonts w:ascii="Times New Roman" w:hAnsi="Times New Roman" w:cs="Times New Roman"/>
          <w:sz w:val="28"/>
          <w:szCs w:val="28"/>
        </w:rPr>
      </w:pPr>
      <w:r w:rsidRPr="00405FD0">
        <w:rPr>
          <w:rFonts w:ascii="Times New Roman" w:hAnsi="Times New Roman" w:cs="Times New Roman"/>
          <w:b/>
          <w:sz w:val="28"/>
          <w:szCs w:val="28"/>
        </w:rPr>
        <w:t>РЕШИЛО</w:t>
      </w:r>
      <w:r w:rsidRPr="00405FD0">
        <w:rPr>
          <w:rFonts w:ascii="Times New Roman" w:hAnsi="Times New Roman" w:cs="Times New Roman"/>
          <w:sz w:val="28"/>
          <w:szCs w:val="28"/>
        </w:rPr>
        <w:t>:</w:t>
      </w:r>
    </w:p>
    <w:p w:rsidR="00246290" w:rsidRDefault="00246290" w:rsidP="00405FD0">
      <w:pPr>
        <w:tabs>
          <w:tab w:val="left" w:pos="3600"/>
          <w:tab w:val="left" w:pos="5054"/>
          <w:tab w:val="left" w:pos="9498"/>
        </w:tabs>
        <w:suppressAutoHyphens/>
        <w:overflowPunct w:val="0"/>
        <w:autoSpaceDE w:val="0"/>
        <w:spacing w:after="0" w:line="216" w:lineRule="auto"/>
        <w:ind w:firstLine="851"/>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362692">
        <w:rPr>
          <w:rFonts w:ascii="Times New Roman" w:hAnsi="Times New Roman" w:cs="Times New Roman"/>
          <w:sz w:val="28"/>
          <w:szCs w:val="28"/>
        </w:rPr>
        <w:t xml:space="preserve">Внести изменения в раздел </w:t>
      </w:r>
      <w:r w:rsidR="00362692">
        <w:rPr>
          <w:rFonts w:ascii="Times New Roman" w:hAnsi="Times New Roman" w:cs="Times New Roman"/>
          <w:sz w:val="28"/>
          <w:szCs w:val="28"/>
          <w:lang w:val="en-US"/>
        </w:rPr>
        <w:t>I</w:t>
      </w:r>
      <w:r w:rsidR="00362692">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Песчанокопского района от 20.12.2017 №21</w:t>
      </w:r>
      <w:r w:rsidR="00EB2217">
        <w:rPr>
          <w:rFonts w:ascii="Times New Roman" w:hAnsi="Times New Roman" w:cs="Times New Roman"/>
          <w:sz w:val="28"/>
          <w:szCs w:val="28"/>
        </w:rPr>
        <w:t>4</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местных нормативов градостроительного проектирования  муниципального образования «</w:t>
      </w:r>
      <w:r w:rsidR="00EB2217">
        <w:rPr>
          <w:rFonts w:ascii="Times New Roman" w:eastAsia="Times New Roman" w:hAnsi="Times New Roman" w:cs="Times New Roman"/>
          <w:sz w:val="28"/>
          <w:szCs w:val="28"/>
          <w:lang w:eastAsia="ar-SA"/>
        </w:rPr>
        <w:t>Краснополянское</w:t>
      </w:r>
      <w:r>
        <w:rPr>
          <w:rFonts w:ascii="Times New Roman" w:eastAsia="Times New Roman" w:hAnsi="Times New Roman" w:cs="Times New Roman"/>
          <w:sz w:val="28"/>
          <w:szCs w:val="28"/>
          <w:lang w:eastAsia="ar-SA"/>
        </w:rPr>
        <w:t xml:space="preserve"> сельское поселение» Песчанокопского района </w:t>
      </w:r>
      <w:r>
        <w:rPr>
          <w:rFonts w:ascii="Times New Roman" w:eastAsia="Lucida Sans Unicode" w:hAnsi="Times New Roman" w:cs="Times New Roman"/>
          <w:bCs/>
          <w:sz w:val="28"/>
          <w:szCs w:val="28"/>
          <w:lang w:eastAsia="ru-RU"/>
        </w:rPr>
        <w:t>Ростовской области</w:t>
      </w:r>
      <w:r w:rsidR="00F706B2">
        <w:rPr>
          <w:rFonts w:ascii="Times New Roman" w:eastAsia="Lucida Sans Unicode" w:hAnsi="Times New Roman" w:cs="Times New Roman"/>
          <w:bCs/>
          <w:sz w:val="28"/>
          <w:szCs w:val="28"/>
          <w:lang w:eastAsia="ru-RU"/>
        </w:rPr>
        <w:t>»</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w:t>
      </w:r>
      <w:r w:rsidR="00EB2217">
        <w:rPr>
          <w:rFonts w:ascii="Times New Roman" w:eastAsia="Times New Roman" w:hAnsi="Times New Roman" w:cs="Times New Roman"/>
          <w:sz w:val="28"/>
          <w:szCs w:val="28"/>
          <w:lang w:eastAsia="ar-SA"/>
        </w:rPr>
        <w:t>Краснополянского</w:t>
      </w:r>
      <w:r>
        <w:rPr>
          <w:rFonts w:ascii="Times New Roman" w:eastAsia="Lucida Sans Unicode" w:hAnsi="Times New Roman" w:cs="Times New Roman"/>
          <w:bCs/>
          <w:sz w:val="28"/>
          <w:szCs w:val="28"/>
          <w:lang w:eastAsia="ru-RU"/>
        </w:rPr>
        <w:t xml:space="preserve">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w:t>
      </w:r>
      <w:proofErr w:type="gramEnd"/>
      <w:r>
        <w:rPr>
          <w:rFonts w:ascii="Times New Roman" w:eastAsia="Lucida Sans Unicode" w:hAnsi="Times New Roman" w:cs="Times New Roman"/>
          <w:bCs/>
          <w:sz w:val="28"/>
          <w:szCs w:val="28"/>
          <w:lang w:eastAsia="ru-RU"/>
        </w:rPr>
        <w:t xml:space="preserve"> объе</w:t>
      </w:r>
      <w:r w:rsidR="00405FD0">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
    <w:p w:rsidR="000D70BA" w:rsidRDefault="000D70BA" w:rsidP="00405FD0">
      <w:pPr>
        <w:tabs>
          <w:tab w:val="left" w:pos="709"/>
        </w:tabs>
        <w:autoSpaceDN w:val="0"/>
        <w:spacing w:after="0" w:line="216" w:lineRule="auto"/>
        <w:ind w:firstLine="851"/>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0D70BA" w:rsidRDefault="000D70BA" w:rsidP="00405FD0">
      <w:pPr>
        <w:tabs>
          <w:tab w:val="left" w:pos="709"/>
        </w:tabs>
        <w:autoSpaceDN w:val="0"/>
        <w:spacing w:after="0" w:line="216"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273884" w:rsidP="00405FD0">
      <w:pPr>
        <w:tabs>
          <w:tab w:val="left" w:pos="709"/>
        </w:tabs>
        <w:autoSpaceDN w:val="0"/>
        <w:spacing w:after="0" w:line="21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Решение вступает в силу </w:t>
      </w:r>
      <w:r w:rsidR="00246290">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405FD0">
      <w:pPr>
        <w:spacing w:after="0" w:line="21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Pr="003D4969" w:rsidRDefault="00246290" w:rsidP="00405FD0">
      <w:pPr>
        <w:spacing w:after="0" w:line="216" w:lineRule="auto"/>
        <w:jc w:val="both"/>
        <w:rPr>
          <w:rFonts w:ascii="Times New Roman" w:hAnsi="Times New Roman" w:cs="Times New Roman"/>
          <w:szCs w:val="28"/>
        </w:rPr>
      </w:pPr>
    </w:p>
    <w:p w:rsidR="003D4969" w:rsidRPr="00190DE7" w:rsidRDefault="003D4969" w:rsidP="003D4969">
      <w:pPr>
        <w:spacing w:after="0" w:line="214" w:lineRule="auto"/>
        <w:jc w:val="both"/>
        <w:rPr>
          <w:rFonts w:ascii="Times New Roman" w:hAnsi="Times New Roman" w:cs="Times New Roman"/>
          <w:sz w:val="28"/>
          <w:szCs w:val="28"/>
        </w:rPr>
      </w:pPr>
      <w:r w:rsidRPr="00190DE7">
        <w:rPr>
          <w:rFonts w:ascii="Times New Roman" w:hAnsi="Times New Roman" w:cs="Times New Roman"/>
          <w:sz w:val="28"/>
          <w:szCs w:val="28"/>
        </w:rPr>
        <w:t>Председатель Собрания депутатов</w:t>
      </w:r>
    </w:p>
    <w:p w:rsidR="003D4969" w:rsidRPr="00190DE7" w:rsidRDefault="003D4969" w:rsidP="003D4969">
      <w:pPr>
        <w:spacing w:after="0" w:line="214" w:lineRule="auto"/>
        <w:ind w:right="-1"/>
        <w:jc w:val="both"/>
        <w:rPr>
          <w:rFonts w:ascii="Times New Roman" w:hAnsi="Times New Roman" w:cs="Times New Roman"/>
          <w:sz w:val="28"/>
          <w:szCs w:val="28"/>
        </w:rPr>
      </w:pPr>
      <w:r w:rsidRPr="00190DE7">
        <w:rPr>
          <w:rFonts w:ascii="Times New Roman" w:hAnsi="Times New Roman" w:cs="Times New Roman"/>
          <w:sz w:val="28"/>
          <w:szCs w:val="28"/>
        </w:rPr>
        <w:t xml:space="preserve">Песчанокопского района                                                                     И.Н. </w:t>
      </w:r>
      <w:proofErr w:type="spellStart"/>
      <w:r w:rsidRPr="00190DE7">
        <w:rPr>
          <w:rFonts w:ascii="Times New Roman" w:hAnsi="Times New Roman" w:cs="Times New Roman"/>
          <w:sz w:val="28"/>
          <w:szCs w:val="28"/>
        </w:rPr>
        <w:t>Хребтова</w:t>
      </w:r>
      <w:proofErr w:type="spellEnd"/>
    </w:p>
    <w:p w:rsidR="00405FD0" w:rsidRPr="00405FD0" w:rsidRDefault="00405FD0" w:rsidP="00405FD0">
      <w:pPr>
        <w:spacing w:after="0" w:line="216" w:lineRule="auto"/>
        <w:ind w:right="-1"/>
        <w:jc w:val="both"/>
        <w:rPr>
          <w:rFonts w:ascii="Times New Roman" w:hAnsi="Times New Roman" w:cs="Times New Roman"/>
          <w:szCs w:val="28"/>
        </w:rPr>
      </w:pPr>
    </w:p>
    <w:p w:rsidR="00405FD0" w:rsidRDefault="00405FD0" w:rsidP="00405FD0">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405FD0" w:rsidRDefault="00405FD0" w:rsidP="00405FD0">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405FD0" w:rsidRDefault="00405FD0" w:rsidP="00405FD0">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405FD0" w:rsidRPr="003D4969" w:rsidRDefault="00405FD0" w:rsidP="00405FD0">
      <w:pPr>
        <w:spacing w:after="0" w:line="216" w:lineRule="auto"/>
        <w:rPr>
          <w:rFonts w:ascii="Times New Roman" w:hAnsi="Times New Roman" w:cs="Times New Roman"/>
          <w:sz w:val="20"/>
          <w:szCs w:val="28"/>
        </w:rPr>
      </w:pPr>
    </w:p>
    <w:p w:rsidR="00405FD0" w:rsidRPr="006C3DC2" w:rsidRDefault="00405FD0" w:rsidP="00405FD0">
      <w:pPr>
        <w:spacing w:after="0" w:line="216"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405FD0" w:rsidRPr="006C3DC2" w:rsidRDefault="00405FD0" w:rsidP="00405FD0">
      <w:pPr>
        <w:spacing w:after="0" w:line="216"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405FD0" w:rsidRPr="006C3DC2" w:rsidRDefault="00405FD0" w:rsidP="00405FD0">
      <w:pPr>
        <w:spacing w:after="0" w:line="216"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246290" w:rsidRDefault="00246290" w:rsidP="00405FD0">
      <w:pPr>
        <w:spacing w:after="0" w:line="216" w:lineRule="auto"/>
        <w:rPr>
          <w:rFonts w:ascii="Times New Roman" w:hAnsi="Times New Roman" w:cs="Times New Roman"/>
          <w:sz w:val="28"/>
          <w:szCs w:val="28"/>
        </w:rPr>
      </w:pPr>
    </w:p>
    <w:p w:rsidR="00246290" w:rsidRDefault="00246290" w:rsidP="00405FD0">
      <w:pPr>
        <w:widowControl w:val="0"/>
        <w:spacing w:after="0" w:line="216" w:lineRule="auto"/>
        <w:jc w:val="right"/>
        <w:rPr>
          <w:rFonts w:ascii="Times New Roman" w:eastAsia="Lucida Sans Unicode" w:hAnsi="Times New Roman" w:cs="Tahoma"/>
          <w:sz w:val="28"/>
          <w:szCs w:val="28"/>
          <w:lang w:eastAsia="ru-RU"/>
        </w:rPr>
      </w:pPr>
    </w:p>
    <w:p w:rsidR="000D70BA" w:rsidRDefault="000D70BA" w:rsidP="00405FD0">
      <w:pPr>
        <w:widowControl w:val="0"/>
        <w:spacing w:after="0" w:line="240" w:lineRule="auto"/>
        <w:ind w:left="5670"/>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Приложение</w:t>
      </w:r>
    </w:p>
    <w:p w:rsidR="000D70BA" w:rsidRDefault="000D70BA" w:rsidP="00405FD0">
      <w:pPr>
        <w:widowControl w:val="0"/>
        <w:spacing w:after="0" w:line="240" w:lineRule="auto"/>
        <w:ind w:left="5670"/>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Default="00405FD0" w:rsidP="00405FD0">
      <w:pPr>
        <w:ind w:left="5670"/>
        <w:rPr>
          <w:rFonts w:ascii="Times New Roman" w:hAnsi="Times New Roman" w:cs="Times New Roman"/>
          <w:sz w:val="28"/>
          <w:szCs w:val="28"/>
        </w:rPr>
      </w:pPr>
      <w:r>
        <w:rPr>
          <w:rFonts w:ascii="Times New Roman" w:eastAsia="Lucida Sans Unicode" w:hAnsi="Times New Roman" w:cs="Tahoma"/>
          <w:sz w:val="28"/>
          <w:szCs w:val="28"/>
          <w:lang w:eastAsia="ru-RU"/>
        </w:rPr>
        <w:t xml:space="preserve">от </w:t>
      </w:r>
      <w:r w:rsidR="003D4969">
        <w:rPr>
          <w:rFonts w:ascii="Times New Roman CYR" w:hAnsi="Times New Roman CYR"/>
          <w:sz w:val="28"/>
          <w:szCs w:val="20"/>
        </w:rPr>
        <w:t>25.12.2025 г.</w:t>
      </w:r>
      <w:r>
        <w:rPr>
          <w:rFonts w:ascii="Times New Roman" w:eastAsia="Lucida Sans Unicode" w:hAnsi="Times New Roman" w:cs="Tahoma"/>
          <w:sz w:val="28"/>
          <w:szCs w:val="28"/>
          <w:lang w:eastAsia="ru-RU"/>
        </w:rPr>
        <w:t>№</w:t>
      </w:r>
      <w:r w:rsidR="003D4969">
        <w:rPr>
          <w:rFonts w:ascii="Times New Roman" w:eastAsia="Lucida Sans Unicode" w:hAnsi="Times New Roman" w:cs="Tahoma"/>
          <w:sz w:val="28"/>
          <w:szCs w:val="28"/>
          <w:lang w:eastAsia="ru-RU"/>
        </w:rPr>
        <w:t xml:space="preserve"> 294</w:t>
      </w:r>
      <w:r w:rsidR="00246290">
        <w:rPr>
          <w:rFonts w:ascii="Times New Roman" w:eastAsia="Lucida Sans Unicode" w:hAnsi="Times New Roman" w:cs="Tahoma"/>
          <w:sz w:val="28"/>
          <w:szCs w:val="28"/>
          <w:lang w:eastAsia="ru-RU"/>
        </w:rPr>
        <w:t xml:space="preserve"> </w:t>
      </w:r>
      <w:r w:rsidR="00246290">
        <w:rPr>
          <w:rFonts w:ascii="Times New Roman" w:hAnsi="Times New Roman" w:cs="Times New Roman"/>
          <w:sz w:val="28"/>
          <w:szCs w:val="28"/>
        </w:rPr>
        <w:t xml:space="preserve"> </w:t>
      </w:r>
    </w:p>
    <w:p w:rsidR="00E53D79" w:rsidRPr="001B652A" w:rsidRDefault="00E53D79" w:rsidP="00E53D79">
      <w:pPr>
        <w:keepNext/>
        <w:spacing w:before="240" w:after="60" w:line="240" w:lineRule="auto"/>
        <w:jc w:val="center"/>
        <w:outlineLvl w:val="0"/>
        <w:rPr>
          <w:rFonts w:ascii="Times New Roman" w:eastAsiaTheme="majorEastAsia" w:hAnsi="Times New Roman" w:cs="Times New Roman"/>
          <w:b/>
          <w:bCs/>
          <w:kern w:val="32"/>
          <w:sz w:val="28"/>
          <w:szCs w:val="28"/>
        </w:rPr>
      </w:pPr>
      <w:bookmarkStart w:id="0" w:name="_Toc207712512"/>
      <w:r w:rsidRPr="001B652A">
        <w:rPr>
          <w:rFonts w:ascii="Times New Roman" w:eastAsiaTheme="majorEastAsia" w:hAnsi="Times New Roman" w:cs="Times New Roman"/>
          <w:b/>
          <w:bCs/>
          <w:kern w:val="32"/>
          <w:sz w:val="28"/>
          <w:szCs w:val="28"/>
        </w:rPr>
        <w:t>Раздел I. Основная часть местных нормативов градостроительного проектирования Краснополянского сельского поселения муниципального образования «Песчанокопский район» Ростовской области</w:t>
      </w:r>
      <w:bookmarkEnd w:id="0"/>
    </w:p>
    <w:p w:rsidR="00E53D79" w:rsidRPr="001B652A" w:rsidRDefault="00E53D79" w:rsidP="00E53D79">
      <w:pPr>
        <w:numPr>
          <w:ilvl w:val="0"/>
          <w:numId w:val="2"/>
        </w:numPr>
        <w:tabs>
          <w:tab w:val="left" w:pos="993"/>
        </w:tabs>
        <w:autoSpaceDE w:val="0"/>
        <w:autoSpaceDN w:val="0"/>
        <w:adjustRightInd w:val="0"/>
        <w:spacing w:before="120" w:after="120" w:line="240" w:lineRule="auto"/>
        <w:ind w:left="714" w:hanging="357"/>
        <w:jc w:val="both"/>
        <w:outlineLvl w:val="1"/>
        <w:rPr>
          <w:rFonts w:ascii="Times New Roman" w:eastAsiaTheme="majorEastAsia" w:hAnsi="Times New Roman" w:cs="Times New Roman"/>
          <w:b/>
          <w:bCs/>
          <w:iCs/>
          <w:sz w:val="28"/>
          <w:szCs w:val="28"/>
        </w:rPr>
      </w:pPr>
      <w:bookmarkStart w:id="1" w:name="_Toc184354820"/>
      <w:bookmarkStart w:id="2" w:name="_Toc207712513"/>
      <w:r w:rsidRPr="001B652A">
        <w:rPr>
          <w:rFonts w:ascii="Times New Roman" w:eastAsiaTheme="majorEastAsia" w:hAnsi="Times New Roman" w:cs="Times New Roman"/>
          <w:b/>
          <w:bCs/>
          <w:iCs/>
          <w:sz w:val="28"/>
          <w:szCs w:val="28"/>
        </w:rPr>
        <w:t>Общие положения</w:t>
      </w:r>
      <w:bookmarkEnd w:id="1"/>
      <w:bookmarkEnd w:id="2"/>
    </w:p>
    <w:p w:rsidR="00E53D79" w:rsidRDefault="00E53D79" w:rsidP="00E53D7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Краснополянского сельского поселения муниципального образования «Песчанокопский район» Ростовской области, документации по планировке территории.</w:t>
      </w:r>
    </w:p>
    <w:p w:rsidR="00E53D79" w:rsidRDefault="00E53D79" w:rsidP="00E53D7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roofErr w:type="gramEnd"/>
    </w:p>
    <w:p w:rsidR="00E53D79" w:rsidRDefault="00E53D79" w:rsidP="00E53D7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E53D79" w:rsidRDefault="00E53D79" w:rsidP="00E53D7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w:t>
      </w:r>
      <w:bookmarkStart w:id="3" w:name="_GoBack"/>
      <w:bookmarkEnd w:id="3"/>
      <w:r>
        <w:rPr>
          <w:rFonts w:ascii="Times New Roman" w:eastAsiaTheme="minorEastAsia" w:hAnsi="Times New Roman" w:cs="Times New Roman"/>
          <w:sz w:val="28"/>
          <w:szCs w:val="28"/>
        </w:rPr>
        <w:t>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E53D79" w:rsidRDefault="00E53D79" w:rsidP="00E53D7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w:t>
      </w:r>
      <w:proofErr w:type="gramStart"/>
      <w:r>
        <w:rPr>
          <w:rFonts w:ascii="Times New Roman" w:eastAsiaTheme="minorEastAsia" w:hAnsi="Times New Roman" w:cs="Times New Roman"/>
          <w:sz w:val="28"/>
          <w:szCs w:val="28"/>
        </w:rPr>
        <w:t>прямой</w:t>
      </w:r>
      <w:proofErr w:type="gramEnd"/>
      <w:r>
        <w:rPr>
          <w:rFonts w:ascii="Times New Roman" w:eastAsiaTheme="minorEastAsia" w:hAnsi="Times New Roman" w:cs="Times New Roman"/>
          <w:sz w:val="28"/>
          <w:szCs w:val="28"/>
        </w:rPr>
        <w:t>, по имеющимся путям передвижения, или иным образом.</w:t>
      </w:r>
    </w:p>
    <w:p w:rsidR="00E53D79" w:rsidRDefault="00E53D79" w:rsidP="00E53D7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В настоящих Нормативах выделяется пешеходная и транспортная доступность:</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E53D79" w:rsidRDefault="00E53D79" w:rsidP="00E53D7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E53D79" w:rsidRDefault="00E53D79" w:rsidP="00E53D7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E53D79" w:rsidRPr="001B652A" w:rsidRDefault="00E53D79" w:rsidP="00E53D79">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 w:name="_Toc207712514"/>
      <w:r w:rsidRPr="001B652A">
        <w:rPr>
          <w:rFonts w:ascii="Times New Roman" w:eastAsiaTheme="majorEastAsia" w:hAnsi="Times New Roman" w:cs="Times New Roman"/>
          <w:b/>
          <w:bCs/>
          <w:iCs/>
          <w:sz w:val="28"/>
          <w:szCs w:val="28"/>
        </w:rPr>
        <w:t>2.Перечень предельных значений показателей минимально допустимого уровня обеспеченности населения Краснополянского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p>
    <w:p w:rsidR="00E53D79" w:rsidRDefault="00E53D79" w:rsidP="00E53D79">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2.1Нормируемые значения показателей объектов местного значения поселения установлены в таблицах 1 – 13. </w:t>
      </w:r>
    </w:p>
    <w:p w:rsidR="00E53D79" w:rsidRPr="001B652A"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5" w:name="_Toc207712515"/>
      <w:bookmarkStart w:id="6" w:name="_Toc184354822"/>
      <w:r w:rsidRPr="001B652A">
        <w:rPr>
          <w:rFonts w:ascii="Times New Roman" w:eastAsiaTheme="majorEastAsia" w:hAnsi="Times New Roman" w:cs="Times New Roman"/>
          <w:b/>
          <w:iCs/>
          <w:sz w:val="28"/>
          <w:szCs w:val="28"/>
        </w:rPr>
        <w:t>Автомобильные дороги и транспорт</w:t>
      </w:r>
      <w:bookmarkEnd w:id="5"/>
      <w:bookmarkEnd w:id="6"/>
    </w:p>
    <w:p w:rsidR="00E53D79" w:rsidRDefault="00E53D79" w:rsidP="00E53D79">
      <w:pPr>
        <w:keepNext/>
        <w:spacing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 – ОМЗ в области транспорта и автомобильных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E53D79" w:rsidTr="00E53D79">
        <w:trPr>
          <w:trHeight w:val="27"/>
        </w:trPr>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E53D79" w:rsidTr="00E53D79">
        <w:trPr>
          <w:trHeight w:val="1124"/>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численности объектов в населённом пункте</w:t>
            </w:r>
          </w:p>
        </w:tc>
        <w:tc>
          <w:tcPr>
            <w:tcW w:w="1363" w:type="dxa"/>
            <w:tcBorders>
              <w:top w:val="single" w:sz="4" w:space="0" w:color="auto"/>
              <w:left w:val="single" w:sz="4" w:space="0" w:color="auto"/>
              <w:bottom w:val="single" w:sz="4" w:space="0" w:color="auto"/>
              <w:right w:val="single" w:sz="4" w:space="0" w:color="auto"/>
            </w:tcBorders>
          </w:tcPr>
          <w:p w:rsidR="00E53D79" w:rsidRDefault="00E53D79">
            <w:pPr>
              <w:pStyle w:val="ConsPlusNormal"/>
              <w:spacing w:line="276" w:lineRule="auto"/>
              <w:jc w:val="center"/>
              <w:rPr>
                <w:rFonts w:ascii="Times New Roman" w:hAnsi="Times New Roman" w:cs="Times New Roman"/>
                <w:sz w:val="24"/>
                <w:szCs w:val="24"/>
                <w:lang w:eastAsia="en-US"/>
              </w:rPr>
            </w:pP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r>
      <w:tr w:rsidR="00E53D79" w:rsidTr="00E53D79">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E53D79" w:rsidTr="00E53D79">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2"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3" w:type="dxa"/>
            <w:tcBorders>
              <w:top w:val="single" w:sz="4" w:space="0" w:color="auto"/>
              <w:left w:val="single" w:sz="4" w:space="0" w:color="auto"/>
              <w:bottom w:val="single" w:sz="4" w:space="0" w:color="auto"/>
              <w:right w:val="single" w:sz="4" w:space="0" w:color="auto"/>
            </w:tcBorders>
          </w:tcPr>
          <w:p w:rsidR="00E53D79" w:rsidRDefault="00E53D79">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E53D79" w:rsidRDefault="00E53D79">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E53D79" w:rsidRDefault="00E53D79">
            <w:pPr>
              <w:pStyle w:val="ConsPlusNormal"/>
              <w:spacing w:line="276" w:lineRule="auto"/>
              <w:rPr>
                <w:rFonts w:ascii="Times New Roman" w:hAnsi="Times New Roman" w:cs="Times New Roman"/>
                <w:sz w:val="24"/>
                <w:szCs w:val="24"/>
                <w:lang w:eastAsia="en-US"/>
              </w:rPr>
            </w:pP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E53D79" w:rsidTr="00E53D79">
        <w:trPr>
          <w:trHeight w:val="2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прочих функциональных зонах, а также в незастроенной части населённого пункта и за его границами</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 ПКРТИ, ПОДД, картой маршрута</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w:t>
      </w:r>
      <w:proofErr w:type="gramStart"/>
      <w:r>
        <w:rPr>
          <w:rFonts w:ascii="Times New Roman" w:hAnsi="Times New Roman"/>
        </w:rPr>
        <w:t xml:space="preserve">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w:t>
      </w:r>
      <w:r>
        <w:rPr>
          <w:rFonts w:ascii="Times New Roman" w:hAnsi="Times New Roman"/>
        </w:rPr>
        <w:lastRenderedPageBreak/>
        <w:t>подразделения, опорный пункт полиции, пожарная часть, избирательный участок, почта, банк, объекты здравоохранения, образования, культуры</w:t>
      </w:r>
      <w:proofErr w:type="gramEnd"/>
      <w:r>
        <w:rPr>
          <w:rFonts w:ascii="Times New Roman" w:hAnsi="Times New Roman"/>
        </w:rPr>
        <w:t>, физической культуры и спорта всех типов, парки и места массового отдыха.</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E53D79" w:rsidRDefault="00E53D79" w:rsidP="00E53D79">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градостроительного проектирования муниципального образования «Песчанокопский район».</w:t>
      </w:r>
    </w:p>
    <w:p w:rsidR="00E53D79" w:rsidRPr="001B652A" w:rsidRDefault="00E53D79" w:rsidP="00E53D79">
      <w:pPr>
        <w:spacing w:after="0" w:line="268" w:lineRule="auto"/>
        <w:outlineLvl w:val="2"/>
        <w:rPr>
          <w:rFonts w:ascii="Times New Roman" w:eastAsiaTheme="majorEastAsia" w:hAnsi="Times New Roman" w:cs="Times New Roman"/>
          <w:b/>
          <w:iCs/>
          <w:sz w:val="28"/>
          <w:szCs w:val="28"/>
        </w:rPr>
      </w:pPr>
      <w:bookmarkStart w:id="7" w:name="_Toc207712516"/>
      <w:bookmarkStart w:id="8" w:name="_Toc203375055"/>
      <w:bookmarkStart w:id="9" w:name="_Toc185867334"/>
      <w:r w:rsidRPr="001B652A">
        <w:rPr>
          <w:rFonts w:ascii="Times New Roman" w:eastAsiaTheme="majorEastAsia" w:hAnsi="Times New Roman" w:cs="Times New Roman"/>
          <w:b/>
          <w:iCs/>
          <w:sz w:val="28"/>
          <w:szCs w:val="28"/>
        </w:rPr>
        <w:t>Содействие жилищному строительству</w:t>
      </w:r>
      <w:bookmarkEnd w:id="7"/>
      <w:bookmarkEnd w:id="8"/>
      <w:bookmarkEnd w:id="9"/>
    </w:p>
    <w:p w:rsidR="00E53D79" w:rsidRDefault="00E53D79" w:rsidP="00E53D79">
      <w:pPr>
        <w:keepNext/>
        <w:spacing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2 – ОМЗ в области содействия жилищному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E53D79" w:rsidTr="00E53D79">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Обеспеченность населения, проживающего в 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0,1</w:t>
            </w:r>
            <w:proofErr w:type="gramEnd"/>
            <w:r>
              <w:rPr>
                <w:rFonts w:ascii="Times New Roman" w:eastAsiaTheme="minorEastAsia" w:hAnsi="Times New Roman" w:cs="Times New Roman"/>
                <w:sz w:val="24"/>
                <w:szCs w:val="24"/>
                <w:lang w:eastAsia="ru-RU"/>
              </w:rPr>
              <w:t xml:space="preserve">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E53D79" w:rsidRDefault="00E53D79">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Гостевые стоянки, предназначенные для посетителей многоквартирных </w:t>
            </w:r>
            <w:r>
              <w:rPr>
                <w:rFonts w:ascii="Times New Roman" w:eastAsiaTheme="minorEastAsia" w:hAnsi="Times New Roman" w:cs="Times New Roman"/>
                <w:sz w:val="24"/>
                <w:szCs w:val="24"/>
                <w:lang w:eastAsia="ru-RU"/>
              </w:rPr>
              <w:lastRenderedPageBreak/>
              <w:t>домов</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lastRenderedPageBreak/>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Примечания:</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 Количество парковочных мест для МГН и радиус их доступности следует принимать по СП 59.13330.2020.</w:t>
      </w:r>
    </w:p>
    <w:p w:rsidR="00E53D79" w:rsidRDefault="00E53D79" w:rsidP="00E53D79">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2.3Количество жителей для расчёта площади придомовых площадок определяется по формуле [1]:</w:t>
      </w:r>
    </w:p>
    <w:p w:rsidR="00E53D79" w:rsidRDefault="00E53D79" w:rsidP="00E53D79">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w:lastRenderedPageBreak/>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E53D79" w:rsidRDefault="003D496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E53D79">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E53D79" w:rsidRDefault="00E53D79" w:rsidP="00E53D7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E53D79" w:rsidTr="00E53D79">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E53D79" w:rsidTr="00E53D79">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r>
      <w:tr w:rsidR="00E53D79" w:rsidTr="00E53D79">
        <w:tc>
          <w:tcPr>
            <w:tcW w:w="566"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E53D79" w:rsidTr="00E53D79">
        <w:tc>
          <w:tcPr>
            <w:tcW w:w="566"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E53D79" w:rsidTr="00E53D79">
        <w:tc>
          <w:tcPr>
            <w:tcW w:w="566"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E53D79" w:rsidTr="00E53D79">
        <w:tc>
          <w:tcPr>
            <w:tcW w:w="566"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E53D79" w:rsidRDefault="00E53D79" w:rsidP="00E53D79">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E53D79" w:rsidRDefault="00E53D79" w:rsidP="00E53D79">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случае</w:t>
      </w:r>
      <w:proofErr w:type="gramStart"/>
      <w:r>
        <w:rPr>
          <w:rFonts w:ascii="Times New Roman" w:eastAsiaTheme="minorEastAsia" w:hAnsi="Times New Roman" w:cs="Times New Roman"/>
          <w:sz w:val="28"/>
          <w:szCs w:val="28"/>
        </w:rPr>
        <w:t>,</w:t>
      </w:r>
      <w:proofErr w:type="gramEnd"/>
      <w:r>
        <w:rPr>
          <w:rFonts w:ascii="Times New Roman" w:eastAsiaTheme="minorEastAsia" w:hAnsi="Times New Roman" w:cs="Times New Roman"/>
          <w:sz w:val="28"/>
          <w:szCs w:val="28"/>
        </w:rPr>
        <w:t xml:space="preserve">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E53D79" w:rsidRDefault="00E53D79" w:rsidP="00E53D79">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E53D79" w:rsidRDefault="003D496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E53D79">
        <w:rPr>
          <w:rFonts w:ascii="Times New Roman" w:eastAsiaTheme="minorEastAsia" w:hAnsi="Times New Roman" w:cs="Times New Roman"/>
          <w:sz w:val="28"/>
          <w:szCs w:val="28"/>
        </w:rPr>
        <w:t>– 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w:lastRenderedPageBreak/>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E53D79" w:rsidRDefault="003D496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E53D79">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E53D79" w:rsidRDefault="00E53D79" w:rsidP="00E53D79">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E53D79" w:rsidRDefault="00E53D79" w:rsidP="00E53D79">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E53D79" w:rsidRDefault="00E53D79" w:rsidP="00E53D7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E53D79" w:rsidRDefault="00E53D79" w:rsidP="00E53D79">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E53D79" w:rsidRPr="001B652A"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10" w:name="_Toc196754649"/>
      <w:bookmarkStart w:id="11" w:name="_Toc185867335"/>
      <w:bookmarkStart w:id="12" w:name="_Toc207712517"/>
      <w:r w:rsidRPr="001B652A">
        <w:rPr>
          <w:rFonts w:ascii="Times New Roman" w:eastAsiaTheme="majorEastAsia" w:hAnsi="Times New Roman" w:cs="Times New Roman"/>
          <w:b/>
          <w:iCs/>
          <w:sz w:val="28"/>
          <w:szCs w:val="28"/>
        </w:rPr>
        <w:t>Физическая культура и массовый спорт</w:t>
      </w:r>
      <w:bookmarkEnd w:id="10"/>
      <w:bookmarkEnd w:id="11"/>
      <w:bookmarkEnd w:id="12"/>
    </w:p>
    <w:p w:rsidR="00E53D79" w:rsidRDefault="00E53D79" w:rsidP="00E53D7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4 – ОМЗ в области физической культуры и массового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7A1E1E">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E53D79" w:rsidTr="007A1E1E">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E53D79" w:rsidTr="007A1E1E">
        <w:tc>
          <w:tcPr>
            <w:tcW w:w="566"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9"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E53D79" w:rsidTr="007A1E1E">
        <w:tc>
          <w:tcPr>
            <w:tcW w:w="566"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9"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га</w:t>
            </w:r>
            <w:proofErr w:type="gramEnd"/>
            <w:r>
              <w:rPr>
                <w:rFonts w:ascii="Times New Roman" w:eastAsiaTheme="minorEastAsia" w:hAnsi="Times New Roman" w:cs="Times New Roman"/>
                <w:sz w:val="24"/>
                <w:szCs w:val="24"/>
                <w:lang w:eastAsia="ru-RU"/>
              </w:rPr>
              <w:t xml:space="preserve"> на 1000 жит.</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E53D79" w:rsidTr="007A1E1E">
        <w:trPr>
          <w:trHeight w:val="351"/>
        </w:trPr>
        <w:tc>
          <w:tcPr>
            <w:tcW w:w="566"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9"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Плоскостные спортивные сооружения (всех типов)</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w:t>
            </w:r>
            <w:r>
              <w:rPr>
                <w:rFonts w:ascii="Times New Roman" w:eastAsiaTheme="minorEastAsia" w:hAnsi="Times New Roman" w:cs="Times New Roman"/>
                <w:sz w:val="24"/>
                <w:szCs w:val="24"/>
                <w:lang w:eastAsia="ru-RU"/>
              </w:rPr>
              <w:lastRenderedPageBreak/>
              <w:t xml:space="preserve">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110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72  </w:t>
            </w:r>
            <w:r>
              <w:rPr>
                <w:rFonts w:ascii="Times New Roman" w:eastAsiaTheme="minorEastAsia" w:hAnsi="Times New Roman" w:cs="Times New Roman"/>
                <w:sz w:val="24"/>
                <w:szCs w:val="24"/>
                <w:lang w:eastAsia="ru-RU"/>
              </w:rPr>
              <w:lastRenderedPageBreak/>
              <w:t>в общественно-деловой, рекреационной зоне, 38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lastRenderedPageBreak/>
              <w:t>Пешеходная</w:t>
            </w:r>
            <w:proofErr w:type="gramEnd"/>
            <w:r>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lastRenderedPageBreak/>
              <w:t>доступности, метр</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1500 для объектов, </w:t>
            </w:r>
            <w:r>
              <w:rPr>
                <w:rFonts w:ascii="Times New Roman" w:eastAsiaTheme="minorEastAsia" w:hAnsi="Times New Roman" w:cs="Times New Roman"/>
                <w:sz w:val="24"/>
                <w:szCs w:val="24"/>
                <w:lang w:eastAsia="ru-RU"/>
              </w:rPr>
              <w:lastRenderedPageBreak/>
              <w:t>расположенных в жилой зоне</w:t>
            </w:r>
          </w:p>
        </w:tc>
      </w:tr>
      <w:tr w:rsidR="00E53D79" w:rsidTr="007A1E1E">
        <w:trPr>
          <w:trHeight w:val="2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E53D79" w:rsidTr="007A1E1E">
        <w:trPr>
          <w:trHeight w:val="510"/>
        </w:trPr>
        <w:tc>
          <w:tcPr>
            <w:tcW w:w="566"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9"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59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30  в общественно-деловой, рекреационной зоне, 29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E53D79" w:rsidTr="007A1E1E">
        <w:trPr>
          <w:trHeight w:val="3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E53D79" w:rsidTr="007A1E1E">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roofErr w:type="gramStart"/>
            <w:r>
              <w:rPr>
                <w:rFonts w:ascii="Times New Roman" w:eastAsiaTheme="minorEastAsia" w:hAnsi="Times New Roman" w:cs="Times New Roman"/>
                <w:sz w:val="24"/>
                <w:szCs w:val="24"/>
                <w:lang w:eastAsia="ru-RU"/>
              </w:rPr>
              <w:t>..</w:t>
            </w:r>
            <w:proofErr w:type="gramEnd"/>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E53D79" w:rsidTr="007A1E1E">
        <w:trPr>
          <w:trHeight w:val="1770"/>
        </w:trPr>
        <w:tc>
          <w:tcPr>
            <w:tcW w:w="566"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9"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на 100,0 тыс. жит.</w:t>
            </w:r>
          </w:p>
        </w:tc>
        <w:tc>
          <w:tcPr>
            <w:tcW w:w="1364"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227</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E53D79" w:rsidTr="007A1E1E">
        <w:trPr>
          <w:trHeight w:val="9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30 для объектов, расположенных в границах общественно-деловых и </w:t>
            </w:r>
            <w:r>
              <w:rPr>
                <w:rFonts w:ascii="Times New Roman" w:eastAsiaTheme="minorEastAsia" w:hAnsi="Times New Roman" w:cs="Times New Roman"/>
                <w:sz w:val="24"/>
                <w:szCs w:val="24"/>
                <w:lang w:eastAsia="ru-RU"/>
              </w:rPr>
              <w:lastRenderedPageBreak/>
              <w:t>рекреационных зон</w:t>
            </w:r>
          </w:p>
        </w:tc>
      </w:tr>
      <w:tr w:rsidR="00E53D79" w:rsidTr="007A1E1E">
        <w:tc>
          <w:tcPr>
            <w:tcW w:w="566"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6</w:t>
            </w:r>
          </w:p>
        </w:tc>
        <w:tc>
          <w:tcPr>
            <w:tcW w:w="3339"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общей площади на 1000 жит.</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E53D79" w:rsidTr="007A1E1E">
        <w:tc>
          <w:tcPr>
            <w:tcW w:w="566"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3339"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7A1E1E" w:rsidRPr="007A1E1E" w:rsidRDefault="007A1E1E" w:rsidP="007A1E1E">
      <w:pPr>
        <w:tabs>
          <w:tab w:val="left" w:pos="709"/>
          <w:tab w:val="left" w:pos="993"/>
        </w:tabs>
        <w:autoSpaceDE w:val="0"/>
        <w:autoSpaceDN w:val="0"/>
        <w:adjustRightInd w:val="0"/>
        <w:spacing w:after="0" w:line="240" w:lineRule="auto"/>
        <w:jc w:val="both"/>
        <w:rPr>
          <w:rFonts w:ascii="Times New Roman" w:hAnsi="Times New Roman"/>
        </w:rPr>
      </w:pPr>
      <w:r w:rsidRPr="007A1E1E">
        <w:rPr>
          <w:rFonts w:ascii="Times New Roman" w:hAnsi="Times New Roman"/>
        </w:rPr>
        <w:t>Примечания:</w:t>
      </w:r>
    </w:p>
    <w:p w:rsidR="007A1E1E" w:rsidRPr="007A1E1E" w:rsidRDefault="007A1E1E" w:rsidP="007A1E1E">
      <w:pPr>
        <w:tabs>
          <w:tab w:val="left" w:pos="709"/>
          <w:tab w:val="left" w:pos="993"/>
        </w:tabs>
        <w:autoSpaceDE w:val="0"/>
        <w:autoSpaceDN w:val="0"/>
        <w:adjustRightInd w:val="0"/>
        <w:spacing w:after="0" w:line="240" w:lineRule="auto"/>
        <w:jc w:val="both"/>
        <w:rPr>
          <w:rFonts w:ascii="Times New Roman" w:hAnsi="Times New Roman"/>
        </w:rPr>
      </w:pPr>
      <w:r w:rsidRPr="007A1E1E">
        <w:rPr>
          <w:rFonts w:ascii="Times New Roman" w:hAnsi="Times New Roman"/>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7A1E1E" w:rsidRPr="007A1E1E" w:rsidRDefault="007A1E1E" w:rsidP="007A1E1E">
      <w:pPr>
        <w:tabs>
          <w:tab w:val="left" w:pos="709"/>
          <w:tab w:val="left" w:pos="993"/>
        </w:tabs>
        <w:autoSpaceDE w:val="0"/>
        <w:autoSpaceDN w:val="0"/>
        <w:adjustRightInd w:val="0"/>
        <w:spacing w:after="0" w:line="240" w:lineRule="auto"/>
        <w:jc w:val="both"/>
        <w:rPr>
          <w:rFonts w:ascii="Times New Roman" w:hAnsi="Times New Roman"/>
        </w:rPr>
      </w:pPr>
      <w:r w:rsidRPr="007A1E1E">
        <w:rPr>
          <w:rFonts w:ascii="Times New Roman" w:hAnsi="Times New Roman"/>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7A1E1E">
        <w:rPr>
          <w:rFonts w:ascii="Times New Roman" w:hAnsi="Times New Roman"/>
        </w:rPr>
        <w:t>т.ч</w:t>
      </w:r>
      <w:proofErr w:type="spellEnd"/>
      <w:r w:rsidRPr="007A1E1E">
        <w:rPr>
          <w:rFonts w:ascii="Times New Roman" w:hAnsi="Times New Roman"/>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7A1E1E" w:rsidRPr="007A1E1E" w:rsidRDefault="007A1E1E" w:rsidP="007A1E1E">
      <w:pPr>
        <w:tabs>
          <w:tab w:val="left" w:pos="709"/>
          <w:tab w:val="left" w:pos="993"/>
        </w:tabs>
        <w:autoSpaceDE w:val="0"/>
        <w:autoSpaceDN w:val="0"/>
        <w:adjustRightInd w:val="0"/>
        <w:spacing w:after="0" w:line="240" w:lineRule="auto"/>
        <w:jc w:val="both"/>
        <w:rPr>
          <w:rFonts w:ascii="Times New Roman" w:hAnsi="Times New Roman"/>
        </w:rPr>
      </w:pPr>
      <w:r w:rsidRPr="007A1E1E">
        <w:rPr>
          <w:rFonts w:ascii="Times New Roman" w:hAnsi="Times New Roman"/>
        </w:rPr>
        <w:t xml:space="preserve">3. </w:t>
      </w:r>
      <w:proofErr w:type="gramStart"/>
      <w:r w:rsidRPr="007A1E1E">
        <w:rPr>
          <w:rFonts w:ascii="Times New Roman" w:hAnsi="Times New Roman"/>
        </w:rPr>
        <w:t>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roofErr w:type="gramEnd"/>
    </w:p>
    <w:p w:rsidR="00E53D79" w:rsidRDefault="00E53D79" w:rsidP="00E53D79">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2.8Обеспеченность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w:t>
      </w:r>
      <w:r w:rsidR="00F621FA">
        <w:rPr>
          <w:rFonts w:ascii="Times New Roman" w:eastAsiaTheme="minorEastAsia" w:hAnsi="Times New Roman" w:cs="Times New Roman"/>
          <w:sz w:val="28"/>
          <w:szCs w:val="28"/>
        </w:rPr>
        <w:t>ой документации – на основании р</w:t>
      </w:r>
      <w:r w:rsidR="007A1E1E">
        <w:rPr>
          <w:rFonts w:ascii="Times New Roman" w:eastAsiaTheme="minorEastAsia" w:hAnsi="Times New Roman" w:cs="Times New Roman"/>
          <w:sz w:val="28"/>
          <w:szCs w:val="28"/>
        </w:rPr>
        <w:t xml:space="preserve">екомендованных </w:t>
      </w:r>
      <w:r>
        <w:rPr>
          <w:rFonts w:ascii="Times New Roman" w:eastAsiaTheme="minorEastAsia" w:hAnsi="Times New Roman" w:cs="Times New Roman"/>
          <w:sz w:val="28"/>
          <w:szCs w:val="28"/>
        </w:rPr>
        <w:t xml:space="preserve">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2.9</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E53D79" w:rsidRDefault="00E53D79" w:rsidP="00E53D79">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w:t>
      </w:r>
      <w:r>
        <w:rPr>
          <w:rFonts w:ascii="Times New Roman" w:eastAsiaTheme="minorEastAsia" w:hAnsi="Times New Roman" w:cs="Times New Roman"/>
          <w:sz w:val="28"/>
          <w:szCs w:val="28"/>
        </w:rPr>
        <w:lastRenderedPageBreak/>
        <w:t>финансирования, наличия предложений от субъектов предпринимательской деятельности в рамках государственно-частного партнерства.</w:t>
      </w:r>
    </w:p>
    <w:p w:rsidR="00E53D79" w:rsidRDefault="00E53D79" w:rsidP="00E53D79">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2.11</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2.13</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E53D79" w:rsidRPr="001B652A"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13" w:name="_Toc207712518"/>
      <w:r w:rsidRPr="001B652A">
        <w:rPr>
          <w:rFonts w:ascii="Times New Roman" w:eastAsiaTheme="majorEastAsia" w:hAnsi="Times New Roman" w:cs="Times New Roman"/>
          <w:b/>
          <w:iCs/>
          <w:sz w:val="28"/>
          <w:szCs w:val="28"/>
        </w:rPr>
        <w:t>Культура</w:t>
      </w:r>
      <w:bookmarkEnd w:id="13"/>
    </w:p>
    <w:p w:rsidR="00E53D79" w:rsidRDefault="00E53D79" w:rsidP="00E53D79"/>
    <w:p w:rsidR="00E53D79" w:rsidRDefault="00E53D79" w:rsidP="00E53D7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трансп. на общ</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w:t>
            </w:r>
            <w:proofErr w:type="spellStart"/>
            <w:proofErr w:type="gramStart"/>
            <w:r>
              <w:rPr>
                <w:rFonts w:ascii="Times New Roman" w:eastAsiaTheme="minorEastAsia" w:hAnsi="Times New Roman" w:cs="Times New Roman"/>
                <w:sz w:val="24"/>
                <w:szCs w:val="24"/>
                <w:lang w:eastAsia="ru-RU"/>
              </w:rPr>
              <w:t>т</w:t>
            </w:r>
            <w:proofErr w:type="gramEnd"/>
            <w:r>
              <w:rPr>
                <w:rFonts w:ascii="Times New Roman" w:eastAsiaTheme="minorEastAsia" w:hAnsi="Times New Roman" w:cs="Times New Roman"/>
                <w:sz w:val="24"/>
                <w:szCs w:val="24"/>
                <w:lang w:eastAsia="ru-RU"/>
              </w:rPr>
              <w:t>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lang w:eastAsia="ru-RU"/>
              </w:rPr>
            </w:pP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jc w:val="center"/>
            </w:pPr>
            <w:r>
              <w:t>3</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2. Оптимальное территориальное размещение сетевых единиц может </w:t>
      </w:r>
      <w:proofErr w:type="gramStart"/>
      <w:r>
        <w:rPr>
          <w:rFonts w:ascii="Times New Roman" w:hAnsi="Times New Roman"/>
        </w:rPr>
        <w:t>подразумевать</w:t>
      </w:r>
      <w:proofErr w:type="gramEnd"/>
      <w:r>
        <w:rPr>
          <w:rFonts w:ascii="Times New Roman" w:hAnsi="Times New Roman"/>
        </w:rPr>
        <w:t xml:space="preserve">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w:t>
      </w:r>
      <w:r>
        <w:rPr>
          <w:rFonts w:ascii="Times New Roman" w:hAnsi="Times New Roman"/>
        </w:rPr>
        <w:lastRenderedPageBreak/>
        <w:t>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 собственниками этих ресурсов.. </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E53D79" w:rsidRDefault="00E53D79" w:rsidP="00E53D79">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2.15Общедоступная библиотека сельского поселения, имеющая статус </w:t>
      </w:r>
      <w:proofErr w:type="gramStart"/>
      <w:r>
        <w:rPr>
          <w:rFonts w:ascii="Times New Roman" w:eastAsiaTheme="minorEastAsia" w:hAnsi="Times New Roman" w:cs="Times New Roman"/>
          <w:sz w:val="28"/>
          <w:szCs w:val="28"/>
        </w:rPr>
        <w:t>центральной</w:t>
      </w:r>
      <w:proofErr w:type="gramEnd"/>
      <w:r>
        <w:rPr>
          <w:rFonts w:ascii="Times New Roman" w:eastAsiaTheme="minorEastAsia" w:hAnsi="Times New Roman" w:cs="Times New Roman"/>
          <w:sz w:val="28"/>
          <w:szCs w:val="28"/>
        </w:rPr>
        <w:t>, может располагаться в административном центре сельского поселения.</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E53D79" w:rsidRDefault="00E53D79" w:rsidP="00E53D79">
      <w:pPr>
        <w:keepNext/>
        <w:spacing w:before="240" w:after="120" w:line="240" w:lineRule="auto"/>
        <w:jc w:val="both"/>
        <w:outlineLvl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E53D79" w:rsidRPr="00A8783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w:t>
      </w:r>
      <w:r w:rsidRPr="00A87839">
        <w:rPr>
          <w:rFonts w:ascii="Times New Roman" w:eastAsiaTheme="minorEastAsia" w:hAnsi="Times New Roman" w:cs="Times New Roman"/>
          <w:sz w:val="28"/>
          <w:szCs w:val="28"/>
        </w:rPr>
        <w:t>массовых мероприятий образовательной и досуговой направленности.</w:t>
      </w:r>
    </w:p>
    <w:p w:rsidR="00E53D79" w:rsidRPr="00A87839"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14" w:name="_Toc207712519"/>
      <w:r w:rsidRPr="00A87839">
        <w:rPr>
          <w:rFonts w:ascii="Times New Roman" w:eastAsiaTheme="majorEastAsia" w:hAnsi="Times New Roman" w:cs="Times New Roman"/>
          <w:b/>
          <w:iCs/>
          <w:sz w:val="28"/>
          <w:szCs w:val="28"/>
        </w:rPr>
        <w:t>Массовый отдых населения</w:t>
      </w:r>
      <w:bookmarkEnd w:id="14"/>
    </w:p>
    <w:p w:rsidR="00E53D79" w:rsidRPr="00A87839" w:rsidRDefault="00E53D79" w:rsidP="00E53D79">
      <w:pPr>
        <w:keepNext/>
        <w:spacing w:after="0" w:line="240" w:lineRule="auto"/>
        <w:jc w:val="both"/>
        <w:outlineLvl w:val="3"/>
        <w:rPr>
          <w:rFonts w:ascii="Times New Roman" w:eastAsiaTheme="minorEastAsia" w:hAnsi="Times New Roman" w:cs="Times New Roman"/>
          <w:bCs/>
          <w:sz w:val="24"/>
          <w:szCs w:val="24"/>
        </w:rPr>
      </w:pPr>
      <w:r w:rsidRPr="00A87839">
        <w:rPr>
          <w:rFonts w:ascii="Times New Roman" w:eastAsiaTheme="minorEastAsia" w:hAnsi="Times New Roman" w:cs="Times New Roman"/>
          <w:sz w:val="28"/>
          <w:szCs w:val="28"/>
        </w:rPr>
        <w:t>Т</w:t>
      </w:r>
      <w:r w:rsidRPr="00A87839">
        <w:rPr>
          <w:rFonts w:ascii="Times New Roman" w:eastAsiaTheme="minorEastAsia" w:hAnsi="Times New Roman" w:cs="Times New Roman"/>
          <w:bCs/>
          <w:sz w:val="24"/>
          <w:szCs w:val="24"/>
        </w:rPr>
        <w:t>аблица 6 – ОМЗ в области массового отдыха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место в сан</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кур. и 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E53D79" w:rsidTr="00E53D79">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E53D79" w:rsidTr="00E53D79">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r>
      <w:tr w:rsidR="00E53D79" w:rsidTr="00E53D79">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E53D79" w:rsidTr="00E53D79">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r>
    </w:tbl>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w:t>
      </w:r>
      <w:proofErr w:type="gramStart"/>
      <w:r>
        <w:rPr>
          <w:rFonts w:ascii="Times New Roman" w:hAnsi="Times New Roman"/>
        </w:rPr>
        <w:t xml:space="preserve">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roofErr w:type="gramEnd"/>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4. </w:t>
      </w:r>
      <w:proofErr w:type="gramStart"/>
      <w:r>
        <w:rPr>
          <w:rFonts w:ascii="Times New Roman" w:hAnsi="Times New Roman"/>
        </w:rPr>
        <w:t>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roofErr w:type="gramEnd"/>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 xml:space="preserve">-мест для парковки легковых автомобилей на стоянках </w:t>
      </w:r>
      <w:proofErr w:type="gramStart"/>
      <w:r>
        <w:rPr>
          <w:rFonts w:ascii="Times New Roman" w:eastAsiaTheme="minorEastAsia" w:hAnsi="Times New Roman" w:cs="Times New Roman"/>
          <w:sz w:val="28"/>
          <w:szCs w:val="28"/>
        </w:rPr>
        <w:t>автомобилей, размещаемых у границ лесопарков и зон отдыха принимается</w:t>
      </w:r>
      <w:proofErr w:type="gramEnd"/>
      <w:r>
        <w:rPr>
          <w:rFonts w:ascii="Times New Roman" w:eastAsiaTheme="minorEastAsia" w:hAnsi="Times New Roman" w:cs="Times New Roman"/>
          <w:sz w:val="28"/>
          <w:szCs w:val="28"/>
        </w:rPr>
        <w:t xml:space="preserve"> в соответствии с пунктом 2.2. РНГП РО.</w:t>
      </w:r>
    </w:p>
    <w:p w:rsidR="00E53D79" w:rsidRPr="00A87839"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15" w:name="_Toc207712520"/>
      <w:r w:rsidRPr="00A87839">
        <w:rPr>
          <w:rFonts w:ascii="Times New Roman" w:eastAsiaTheme="majorEastAsia" w:hAnsi="Times New Roman" w:cs="Times New Roman"/>
          <w:b/>
          <w:iCs/>
          <w:sz w:val="28"/>
          <w:szCs w:val="28"/>
        </w:rPr>
        <w:t>Благоустройство и озеленение территории</w:t>
      </w:r>
      <w:bookmarkEnd w:id="15"/>
    </w:p>
    <w:p w:rsidR="00E53D79" w:rsidRDefault="00E53D79" w:rsidP="00E53D7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E53D79" w:rsidTr="00E53D79">
        <w:trPr>
          <w:trHeight w:val="28"/>
        </w:trPr>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населения,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13,2</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оступность,</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минута</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E53D79" w:rsidTr="00E53D79">
        <w:trPr>
          <w:trHeight w:val="28"/>
        </w:trPr>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E53D79" w:rsidRDefault="00E53D79" w:rsidP="00E53D79">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E53D79" w:rsidRDefault="00E53D79" w:rsidP="00E53D79">
      <w:pPr>
        <w:spacing w:after="0" w:line="268" w:lineRule="auto"/>
        <w:ind w:firstLine="709"/>
        <w:outlineLvl w:val="2"/>
        <w:rPr>
          <w:rFonts w:ascii="Times New Roman" w:eastAsiaTheme="minorEastAsia" w:hAnsi="Times New Roman" w:cs="Times New Roman"/>
          <w:bCs/>
          <w:sz w:val="24"/>
          <w:szCs w:val="24"/>
        </w:rPr>
      </w:pPr>
      <w:bookmarkStart w:id="16" w:name="_Toc207712521"/>
      <w:r>
        <w:rPr>
          <w:rFonts w:ascii="Times New Roman" w:eastAsiaTheme="minorEastAsia" w:hAnsi="Times New Roman" w:cs="Times New Roman"/>
          <w:bCs/>
          <w:sz w:val="24"/>
          <w:szCs w:val="24"/>
        </w:rPr>
        <w:t>Таблица 8 – Функциональные зоны, содержащие озеленённые территории общего пользования для расчёта показателей площади озеленённых территорий</w:t>
      </w:r>
      <w:bookmarkEnd w:id="16"/>
    </w:p>
    <w:tbl>
      <w:tblPr>
        <w:tblStyle w:val="af"/>
        <w:tblW w:w="0" w:type="auto"/>
        <w:tblInd w:w="108" w:type="dxa"/>
        <w:tblLayout w:type="fixed"/>
        <w:tblLook w:val="04A0" w:firstRow="1" w:lastRow="0" w:firstColumn="1" w:lastColumn="0" w:noHBand="0" w:noVBand="1"/>
      </w:tblPr>
      <w:tblGrid>
        <w:gridCol w:w="567"/>
        <w:gridCol w:w="1560"/>
        <w:gridCol w:w="2816"/>
        <w:gridCol w:w="2816"/>
        <w:gridCol w:w="1704"/>
      </w:tblGrid>
      <w:tr w:rsidR="00E53D79" w:rsidTr="00E53D79">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8896" w:type="dxa"/>
            <w:gridSpan w:val="4"/>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E53D79" w:rsidTr="00E53D79">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E53D79" w:rsidTr="00E53D79">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E53D79" w:rsidTr="00E53D79">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r>
      <w:tr w:rsidR="00E53D79" w:rsidTr="00E53D79">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E53D79" w:rsidRDefault="00E53D7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line="240" w:lineRule="auto"/>
              <w:rPr>
                <w:rFonts w:ascii="Times New Roman" w:hAnsi="Times New Roman"/>
                <w:sz w:val="24"/>
                <w:szCs w:val="24"/>
              </w:rPr>
            </w:pPr>
          </w:p>
        </w:tc>
      </w:tr>
    </w:tbl>
    <w:p w:rsidR="00E53D79" w:rsidRDefault="00E53D79" w:rsidP="00E53D79">
      <w:pPr>
        <w:tabs>
          <w:tab w:val="left" w:pos="1134"/>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E53D79" w:rsidRPr="00A87839"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17" w:name="_Toc207712522"/>
      <w:bookmarkStart w:id="18" w:name="_Toc194866747"/>
      <w:bookmarkStart w:id="19" w:name="_Toc184354828"/>
      <w:r w:rsidRPr="00A87839">
        <w:rPr>
          <w:rFonts w:ascii="Times New Roman" w:eastAsiaTheme="majorEastAsia" w:hAnsi="Times New Roman" w:cs="Times New Roman"/>
          <w:b/>
          <w:iCs/>
          <w:sz w:val="28"/>
          <w:szCs w:val="28"/>
        </w:rPr>
        <w:t>Защита и предупреждение чрезвычайных ситуаций</w:t>
      </w:r>
      <w:bookmarkEnd w:id="17"/>
      <w:bookmarkEnd w:id="18"/>
      <w:bookmarkEnd w:id="19"/>
      <w:r w:rsidRPr="00A87839">
        <w:rPr>
          <w:rFonts w:ascii="Times New Roman" w:eastAsiaTheme="majorEastAsia" w:hAnsi="Times New Roman" w:cs="Times New Roman"/>
          <w:b/>
          <w:iCs/>
          <w:sz w:val="28"/>
          <w:szCs w:val="28"/>
        </w:rPr>
        <w:t xml:space="preserve"> </w:t>
      </w:r>
    </w:p>
    <w:p w:rsidR="00E53D79" w:rsidRDefault="00E53D79" w:rsidP="00E53D7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/с</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расстояние от поста до крайней точки обслуживаемой территории, </w:t>
            </w:r>
            <w:proofErr w:type="gramStart"/>
            <w:r>
              <w:rPr>
                <w:rFonts w:ascii="Times New Roman" w:hAnsi="Times New Roman" w:cs="Times New Roman"/>
                <w:sz w:val="24"/>
                <w:szCs w:val="24"/>
                <w:lang w:eastAsia="en-US"/>
              </w:rPr>
              <w:t>м</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расстояние от поста до крайней точки обслуживаемой территории и акватории, </w:t>
            </w:r>
            <w:proofErr w:type="gramStart"/>
            <w:r>
              <w:rPr>
                <w:rFonts w:ascii="Times New Roman" w:hAnsi="Times New Roman" w:cs="Times New Roman"/>
                <w:sz w:val="24"/>
                <w:szCs w:val="24"/>
                <w:lang w:eastAsia="en-US"/>
              </w:rPr>
              <w:t>м</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bl>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В случае</w:t>
      </w:r>
      <w:proofErr w:type="gramStart"/>
      <w:r>
        <w:rPr>
          <w:rFonts w:ascii="Times New Roman" w:hAnsi="Times New Roman"/>
        </w:rPr>
        <w:t>,</w:t>
      </w:r>
      <w:proofErr w:type="gramEnd"/>
      <w:r>
        <w:rPr>
          <w:rFonts w:ascii="Times New Roman" w:hAnsi="Times New Roman"/>
        </w:rPr>
        <w:t xml:space="preserve"> если установлен подвоз укрываемых к ЗС ГО на автомобилях, радиус такого подвоза устанавливается в размере не более 20 км.</w:t>
      </w:r>
    </w:p>
    <w:p w:rsidR="00E53D79" w:rsidRPr="00A87839"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20" w:name="_Toc207712523"/>
      <w:bookmarkStart w:id="21" w:name="_Toc194866748"/>
      <w:bookmarkStart w:id="22" w:name="_Toc184354829"/>
      <w:r w:rsidRPr="00A87839">
        <w:rPr>
          <w:rFonts w:ascii="Times New Roman" w:eastAsiaTheme="majorEastAsia" w:hAnsi="Times New Roman" w:cs="Times New Roman"/>
          <w:b/>
          <w:iCs/>
          <w:sz w:val="28"/>
          <w:szCs w:val="28"/>
        </w:rPr>
        <w:t>Инженерное обеспечение территорий</w:t>
      </w:r>
      <w:bookmarkEnd w:id="20"/>
      <w:bookmarkEnd w:id="21"/>
      <w:bookmarkEnd w:id="22"/>
    </w:p>
    <w:p w:rsidR="00E53D79" w:rsidRDefault="00E53D79" w:rsidP="00E53D7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w:t>
            </w:r>
            <w:proofErr w:type="gramStart"/>
            <w:r>
              <w:rPr>
                <w:rFonts w:ascii="Times New Roman" w:hAnsi="Times New Roman" w:cs="Times New Roman"/>
                <w:sz w:val="24"/>
                <w:szCs w:val="24"/>
                <w:lang w:eastAsia="en-US"/>
              </w:rPr>
              <w:t>ч</w:t>
            </w:r>
            <w:proofErr w:type="spellEnd"/>
            <w:proofErr w:type="gram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ч</w:t>
            </w:r>
            <w:proofErr w:type="gramEnd"/>
            <w:r>
              <w:rPr>
                <w:rFonts w:ascii="Times New Roman" w:hAnsi="Times New Roman" w:cs="Times New Roman"/>
                <w:sz w:val="24"/>
                <w:szCs w:val="24"/>
                <w:lang w:eastAsia="en-US"/>
              </w:rPr>
              <w:t>/год</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60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E53D79" w:rsidRDefault="00E53D79" w:rsidP="003C0934">
      <w:pPr>
        <w:rPr>
          <w:rFonts w:ascii="Times New Roman" w:hAnsi="Times New Roman"/>
        </w:rPr>
      </w:pPr>
      <w:r>
        <w:rPr>
          <w:rFonts w:ascii="Times New Roman" w:hAnsi="Times New Roman"/>
        </w:rPr>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w:t>
      </w:r>
      <w:r w:rsidR="003C0934">
        <w:rPr>
          <w:rFonts w:ascii="Times New Roman" w:hAnsi="Times New Roman"/>
        </w:rPr>
        <w:t xml:space="preserve">СП 131.13330.2025 «СНиП 23-01-99* Строительная климатология; </w:t>
      </w:r>
      <w:r>
        <w:rPr>
          <w:rFonts w:ascii="Times New Roman" w:hAnsi="Times New Roman"/>
        </w:rPr>
        <w:t xml:space="preserve">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lastRenderedPageBreak/>
        <w:t>6. Удельный расход воды на поливку общественных зеленых насаждений принимается равным 50 л/</w:t>
      </w:r>
      <w:proofErr w:type="spellStart"/>
      <w:r>
        <w:rPr>
          <w:rFonts w:ascii="Times New Roman" w:hAnsi="Times New Roman"/>
        </w:rPr>
        <w:t>сут</w:t>
      </w:r>
      <w:proofErr w:type="spellEnd"/>
      <w:r>
        <w:rPr>
          <w:rFonts w:ascii="Times New Roman" w:hAnsi="Times New Roman"/>
        </w:rPr>
        <w:t xml:space="preserve">. на 1 жителя. </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7. Расход воды на наружное водоснабжение определяется расчетом по СП 8.13130.2020, табл.1.</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E53D79" w:rsidRPr="00A87839"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23" w:name="_Toc194866749"/>
      <w:bookmarkStart w:id="24" w:name="_Toc184354830"/>
      <w:bookmarkStart w:id="25" w:name="_Toc207712524"/>
      <w:r w:rsidRPr="00A87839">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3"/>
      <w:bookmarkEnd w:id="24"/>
      <w:bookmarkEnd w:id="25"/>
    </w:p>
    <w:p w:rsidR="00E53D79" w:rsidRDefault="00E53D79" w:rsidP="00E53D7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11 – ОМЗ в области </w:t>
      </w:r>
      <w:r>
        <w:rPr>
          <w:rFonts w:ascii="Times New Roman" w:hAnsi="Times New Roman"/>
        </w:rPr>
        <w:t>обработки, утилизации, обезвреживания,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пешеходной доступности, </w:t>
            </w:r>
            <w:proofErr w:type="gramStart"/>
            <w:r>
              <w:rPr>
                <w:rFonts w:ascii="Times New Roman" w:hAnsi="Times New Roman" w:cs="Times New Roman"/>
                <w:sz w:val="24"/>
                <w:szCs w:val="24"/>
                <w:lang w:eastAsia="en-US"/>
              </w:rPr>
              <w:t>м</w:t>
            </w:r>
            <w:proofErr w:type="gramEnd"/>
            <w:r>
              <w:rPr>
                <w:rFonts w:ascii="Times New Roman" w:hAnsi="Times New Roman" w:cs="Times New Roman"/>
                <w:sz w:val="24"/>
                <w:szCs w:val="24"/>
                <w:lang w:eastAsia="en-US"/>
              </w:rPr>
              <w:t xml:space="preserve">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площадь участка стоянки, </w:t>
            </w:r>
            <w:proofErr w:type="gramStart"/>
            <w:r>
              <w:rPr>
                <w:rFonts w:ascii="Times New Roman" w:hAnsi="Times New Roman" w:cs="Times New Roman"/>
                <w:sz w:val="24"/>
                <w:szCs w:val="24"/>
              </w:rPr>
              <w:t>га</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E53D79" w:rsidRDefault="00E53D79" w:rsidP="00E53D79">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2.26Транспортирование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E53D79" w:rsidRPr="00A87839" w:rsidRDefault="00E53D79" w:rsidP="00E53D79">
      <w:pPr>
        <w:spacing w:after="0" w:line="268" w:lineRule="auto"/>
        <w:ind w:firstLine="709"/>
        <w:outlineLvl w:val="2"/>
        <w:rPr>
          <w:rFonts w:ascii="Times New Roman" w:eastAsiaTheme="majorEastAsia" w:hAnsi="Times New Roman" w:cs="Times New Roman"/>
          <w:b/>
          <w:iCs/>
          <w:sz w:val="28"/>
          <w:szCs w:val="28"/>
        </w:rPr>
      </w:pPr>
      <w:bookmarkStart w:id="26" w:name="_Toc207712525"/>
      <w:bookmarkStart w:id="27" w:name="_Toc194866750"/>
      <w:bookmarkStart w:id="28" w:name="_Toc184354831"/>
      <w:r w:rsidRPr="00A87839">
        <w:rPr>
          <w:rFonts w:ascii="Times New Roman" w:eastAsiaTheme="majorEastAsia" w:hAnsi="Times New Roman" w:cs="Times New Roman"/>
          <w:b/>
          <w:iCs/>
          <w:sz w:val="28"/>
          <w:szCs w:val="28"/>
        </w:rPr>
        <w:t>Захоронение и ритуальные услуги</w:t>
      </w:r>
      <w:bookmarkEnd w:id="26"/>
      <w:bookmarkEnd w:id="27"/>
      <w:bookmarkEnd w:id="28"/>
    </w:p>
    <w:p w:rsidR="00E53D79" w:rsidRDefault="00E53D79" w:rsidP="00E53D7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 xml:space="preserve">Таблица 12 – ОМЗ муниципального района в области 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sz w:val="24"/>
                <w:szCs w:val="24"/>
                <w:lang w:eastAsia="en-US"/>
              </w:rPr>
            </w:pPr>
            <w:proofErr w:type="gramStart"/>
            <w:r>
              <w:rPr>
                <w:rFonts w:ascii="Times New Roman" w:hAnsi="Times New Roman"/>
                <w:sz w:val="24"/>
                <w:szCs w:val="24"/>
                <w:lang w:eastAsia="en-US"/>
              </w:rPr>
              <w:t>га</w:t>
            </w:r>
            <w:proofErr w:type="gramEnd"/>
            <w:r>
              <w:rPr>
                <w:rFonts w:ascii="Times New Roman" w:hAnsi="Times New Roman"/>
                <w:sz w:val="24"/>
                <w:szCs w:val="24"/>
                <w:lang w:eastAsia="en-US"/>
              </w:rPr>
              <w:t xml:space="preserve"> / </w:t>
            </w:r>
          </w:p>
          <w:p w:rsidR="00E53D79" w:rsidRDefault="00E53D7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E53D79" w:rsidRDefault="00E53D79" w:rsidP="00E53D7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 xml:space="preserve">Примечания: </w:t>
      </w:r>
    </w:p>
    <w:p w:rsidR="00E53D79" w:rsidRDefault="00E53D79" w:rsidP="00E53D7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E53D79" w:rsidRDefault="00E53D79" w:rsidP="00E53D7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E53D79" w:rsidRPr="00A87839" w:rsidRDefault="00E53D79" w:rsidP="00F621FA">
      <w:pPr>
        <w:spacing w:after="0" w:line="268" w:lineRule="auto"/>
        <w:ind w:firstLine="709"/>
        <w:jc w:val="both"/>
        <w:outlineLvl w:val="2"/>
        <w:rPr>
          <w:rFonts w:ascii="Times New Roman" w:eastAsiaTheme="majorEastAsia" w:hAnsi="Times New Roman" w:cs="Times New Roman"/>
          <w:b/>
          <w:iCs/>
          <w:sz w:val="28"/>
          <w:szCs w:val="28"/>
        </w:rPr>
      </w:pPr>
      <w:bookmarkStart w:id="29" w:name="_Toc207712526"/>
      <w:r w:rsidRPr="00A87839">
        <w:rPr>
          <w:rFonts w:ascii="Times New Roman" w:eastAsiaTheme="majorEastAsia" w:hAnsi="Times New Roman" w:cs="Times New Roman"/>
          <w:b/>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9"/>
    </w:p>
    <w:p w:rsidR="00E53D79" w:rsidRDefault="00E53D79" w:rsidP="00E53D79">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E53D79" w:rsidTr="00E53D7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E53D79" w:rsidRDefault="00E53D7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E53D79" w:rsidTr="00E53D7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E53D79" w:rsidRDefault="00E53D7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E53D79" w:rsidTr="00E53D79">
        <w:tc>
          <w:tcPr>
            <w:tcW w:w="567" w:type="dxa"/>
            <w:tcBorders>
              <w:top w:val="single" w:sz="4" w:space="0" w:color="auto"/>
              <w:left w:val="single" w:sz="4" w:space="0" w:color="auto"/>
              <w:bottom w:val="single" w:sz="4" w:space="0" w:color="auto"/>
              <w:right w:val="single" w:sz="4" w:space="0" w:color="auto"/>
            </w:tcBorders>
            <w:hideMark/>
          </w:tcPr>
          <w:p w:rsidR="00E53D79" w:rsidRDefault="00E53D79">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E53D79" w:rsidRDefault="00E53D79">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E53D79" w:rsidRDefault="00E53D79" w:rsidP="00E53D7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E53D79" w:rsidRDefault="00E53D79" w:rsidP="00E53D79">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  </w:t>
      </w:r>
    </w:p>
    <w:p w:rsidR="00E53D79" w:rsidRPr="00A87839" w:rsidRDefault="00E53D79" w:rsidP="00E53D79">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30" w:name="_Toc207712527"/>
      <w:r>
        <w:rPr>
          <w:rFonts w:asciiTheme="majorHAnsi" w:eastAsiaTheme="majorEastAsia" w:hAnsiTheme="majorHAnsi" w:cs="Times New Roman"/>
          <w:b/>
          <w:bCs/>
          <w:iCs/>
          <w:sz w:val="28"/>
          <w:szCs w:val="28"/>
        </w:rPr>
        <w:t>3</w:t>
      </w:r>
      <w:r w:rsidRPr="00A87839">
        <w:rPr>
          <w:rFonts w:ascii="Times New Roman" w:eastAsiaTheme="majorEastAsia" w:hAnsi="Times New Roman" w:cs="Times New Roman"/>
          <w:b/>
          <w:bCs/>
          <w:iCs/>
          <w:sz w:val="28"/>
          <w:szCs w:val="28"/>
        </w:rPr>
        <w:t>.Приложения к основной части</w:t>
      </w:r>
      <w:bookmarkEnd w:id="30"/>
    </w:p>
    <w:p w:rsidR="00E53D79" w:rsidRPr="00A87839" w:rsidRDefault="00E53D79" w:rsidP="00E53D79">
      <w:pPr>
        <w:keepNext/>
        <w:spacing w:before="240" w:after="240" w:line="240" w:lineRule="auto"/>
        <w:outlineLvl w:val="1"/>
        <w:rPr>
          <w:rFonts w:ascii="Times New Roman" w:eastAsiaTheme="majorEastAsia" w:hAnsi="Times New Roman" w:cs="Times New Roman"/>
          <w:b/>
          <w:bCs/>
          <w:iCs/>
          <w:sz w:val="28"/>
          <w:szCs w:val="28"/>
        </w:rPr>
      </w:pPr>
      <w:bookmarkStart w:id="31" w:name="_Toc207712528"/>
      <w:bookmarkStart w:id="32" w:name="_Toc194866753"/>
      <w:bookmarkStart w:id="33" w:name="_Toc184354834"/>
      <w:r w:rsidRPr="00A87839">
        <w:rPr>
          <w:rFonts w:ascii="Times New Roman" w:eastAsiaTheme="majorEastAsia" w:hAnsi="Times New Roman" w:cs="Times New Roman"/>
          <w:b/>
          <w:bCs/>
          <w:iCs/>
          <w:sz w:val="28"/>
          <w:szCs w:val="28"/>
        </w:rPr>
        <w:t>Приложение А. Используемые сокращения</w:t>
      </w:r>
      <w:bookmarkEnd w:id="31"/>
      <w:bookmarkEnd w:id="32"/>
      <w:bookmarkEnd w:id="33"/>
    </w:p>
    <w:p w:rsidR="00E53D79" w:rsidRPr="00E53D79" w:rsidRDefault="00E53D79" w:rsidP="00E53D79">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E53D79">
        <w:rPr>
          <w:rFonts w:ascii="Times New Roman" w:hAnsi="Times New Roman" w:cs="Times New Roman"/>
          <w:sz w:val="24"/>
          <w:szCs w:val="24"/>
        </w:rPr>
        <w:t>В настоящих Нормативах использованы следующие сокращения:</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131-ФЗ – федеральный закон от 06.10.2003 N 131-ФЗ «Об общих принципах организации местного самоуправления в Российской Федерации»;</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АЗС – автозаправочная станция;</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lastRenderedPageBreak/>
        <w:t>БД ПМО – база данных показателей муниципальных образований;</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ГО – гражданская оборона;</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E53D79">
        <w:rPr>
          <w:rFonts w:ascii="Times New Roman" w:hAnsi="Times New Roman" w:cs="Times New Roman"/>
          <w:sz w:val="24"/>
          <w:szCs w:val="24"/>
        </w:rPr>
        <w:t>ГрадК</w:t>
      </w:r>
      <w:proofErr w:type="spellEnd"/>
      <w:r w:rsidRPr="00E53D79">
        <w:rPr>
          <w:rFonts w:ascii="Times New Roman" w:hAnsi="Times New Roman" w:cs="Times New Roman"/>
          <w:sz w:val="24"/>
          <w:szCs w:val="24"/>
        </w:rPr>
        <w:t xml:space="preserve"> РФ – Градостроительный кодекс Российской Федерации от 29.12.2004г. № 190-ФЗ;</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ДК – дом культуры;</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ЕПС – единая пропускная способность;</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ЗС ГО – защитные сооружения гражданской обороны</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кол-во – количество;</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МГН – маломобильные группы населения;</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МНГП – местные нормативы градостроительного проектирования;</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E53D79">
        <w:rPr>
          <w:rFonts w:ascii="Times New Roman" w:hAnsi="Times New Roman" w:cs="Times New Roman"/>
          <w:sz w:val="24"/>
          <w:szCs w:val="24"/>
        </w:rPr>
        <w:t>мун</w:t>
      </w:r>
      <w:proofErr w:type="spellEnd"/>
      <w:r w:rsidRPr="00E53D79">
        <w:rPr>
          <w:rFonts w:ascii="Times New Roman" w:hAnsi="Times New Roman" w:cs="Times New Roman"/>
          <w:sz w:val="24"/>
          <w:szCs w:val="24"/>
        </w:rPr>
        <w:t>. – муниципальный;</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насел</w:t>
      </w:r>
      <w:proofErr w:type="gramStart"/>
      <w:r w:rsidRPr="00E53D79">
        <w:rPr>
          <w:rFonts w:ascii="Times New Roman" w:hAnsi="Times New Roman" w:cs="Times New Roman"/>
          <w:sz w:val="24"/>
          <w:szCs w:val="24"/>
        </w:rPr>
        <w:t>.</w:t>
      </w:r>
      <w:proofErr w:type="gramEnd"/>
      <w:r w:rsidRPr="00E53D79">
        <w:rPr>
          <w:rFonts w:ascii="Times New Roman" w:hAnsi="Times New Roman" w:cs="Times New Roman"/>
          <w:sz w:val="24"/>
          <w:szCs w:val="24"/>
        </w:rPr>
        <w:t xml:space="preserve"> – </w:t>
      </w:r>
      <w:proofErr w:type="gramStart"/>
      <w:r w:rsidRPr="00E53D79">
        <w:rPr>
          <w:rFonts w:ascii="Times New Roman" w:hAnsi="Times New Roman" w:cs="Times New Roman"/>
          <w:sz w:val="24"/>
          <w:szCs w:val="24"/>
        </w:rPr>
        <w:t>н</w:t>
      </w:r>
      <w:proofErr w:type="gramEnd"/>
      <w:r w:rsidRPr="00E53D79">
        <w:rPr>
          <w:rFonts w:ascii="Times New Roman" w:hAnsi="Times New Roman" w:cs="Times New Roman"/>
          <w:sz w:val="24"/>
          <w:szCs w:val="24"/>
        </w:rPr>
        <w:t>аселение;</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E53D79">
        <w:rPr>
          <w:rFonts w:ascii="Times New Roman" w:hAnsi="Times New Roman" w:cs="Times New Roman"/>
          <w:sz w:val="24"/>
          <w:szCs w:val="24"/>
        </w:rPr>
        <w:t>н.д</w:t>
      </w:r>
      <w:proofErr w:type="spellEnd"/>
      <w:r w:rsidRPr="00E53D79">
        <w:rPr>
          <w:rFonts w:ascii="Times New Roman" w:hAnsi="Times New Roman" w:cs="Times New Roman"/>
          <w:sz w:val="24"/>
          <w:szCs w:val="24"/>
        </w:rPr>
        <w:t>. – нет данных;</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E53D79">
        <w:rPr>
          <w:rFonts w:ascii="Times New Roman" w:hAnsi="Times New Roman" w:cs="Times New Roman"/>
          <w:sz w:val="24"/>
          <w:szCs w:val="24"/>
        </w:rPr>
        <w:t>н.п</w:t>
      </w:r>
      <w:proofErr w:type="spellEnd"/>
      <w:r w:rsidRPr="00E53D79">
        <w:rPr>
          <w:rFonts w:ascii="Times New Roman" w:hAnsi="Times New Roman" w:cs="Times New Roman"/>
          <w:sz w:val="24"/>
          <w:szCs w:val="24"/>
        </w:rPr>
        <w:t>. – населённый пункт;</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ОМЗ – объект местного значения;</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ПКРТИ – программа комплексного развития транспортной инфраструктуры;</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ПОДД – проект организации дорожного движения;</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E53D79">
        <w:rPr>
          <w:rFonts w:ascii="Times New Roman" w:hAnsi="Times New Roman" w:cs="Times New Roman"/>
          <w:sz w:val="24"/>
          <w:szCs w:val="24"/>
        </w:rPr>
        <w:t>с.н.п</w:t>
      </w:r>
      <w:proofErr w:type="spellEnd"/>
      <w:r w:rsidRPr="00E53D79">
        <w:rPr>
          <w:rFonts w:ascii="Times New Roman" w:hAnsi="Times New Roman" w:cs="Times New Roman"/>
          <w:sz w:val="24"/>
          <w:szCs w:val="24"/>
        </w:rPr>
        <w:t>. – сельский населённый пункт</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ТКО – твёрдые коммунальные отходы;</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утв. – утверждённы</w:t>
      </w:r>
      <w:proofErr w:type="gramStart"/>
      <w:r w:rsidRPr="00E53D79">
        <w:rPr>
          <w:rFonts w:ascii="Times New Roman" w:hAnsi="Times New Roman" w:cs="Times New Roman"/>
          <w:sz w:val="24"/>
          <w:szCs w:val="24"/>
        </w:rPr>
        <w:t>й(</w:t>
      </w:r>
      <w:proofErr w:type="spellStart"/>
      <w:proofErr w:type="gramEnd"/>
      <w:r w:rsidRPr="00E53D79">
        <w:rPr>
          <w:rFonts w:ascii="Times New Roman" w:hAnsi="Times New Roman" w:cs="Times New Roman"/>
          <w:sz w:val="24"/>
          <w:szCs w:val="24"/>
        </w:rPr>
        <w:t>ая</w:t>
      </w:r>
      <w:proofErr w:type="spellEnd"/>
      <w:r w:rsidRPr="00E53D79">
        <w:rPr>
          <w:rFonts w:ascii="Times New Roman" w:hAnsi="Times New Roman" w:cs="Times New Roman"/>
          <w:sz w:val="24"/>
          <w:szCs w:val="24"/>
        </w:rPr>
        <w:t>);</w:t>
      </w:r>
    </w:p>
    <w:p w:rsid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ФЗ – федеральный закон</w:t>
      </w:r>
      <w:bookmarkStart w:id="34" w:name="_Toc207712529"/>
      <w:bookmarkStart w:id="35" w:name="_Toc194866754"/>
      <w:bookmarkStart w:id="36" w:name="_Toc184354835"/>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8"/>
          <w:szCs w:val="28"/>
        </w:rPr>
      </w:pPr>
      <w:r w:rsidRPr="00E53D79">
        <w:rPr>
          <w:rFonts w:ascii="Times New Roman" w:eastAsiaTheme="majorEastAsia" w:hAnsi="Times New Roman" w:cs="Times New Roman"/>
          <w:b/>
          <w:bCs/>
          <w:iCs/>
          <w:sz w:val="28"/>
          <w:szCs w:val="28"/>
        </w:rPr>
        <w:t>Приложение Б. Нормативные ссылки</w:t>
      </w:r>
      <w:bookmarkEnd w:id="34"/>
      <w:bookmarkEnd w:id="35"/>
      <w:bookmarkEnd w:id="36"/>
    </w:p>
    <w:p w:rsidR="00E53D79" w:rsidRPr="00E53D79" w:rsidRDefault="00E53D79" w:rsidP="00E53D79">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E53D79">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Градостроительный кодекс Российской Федерации от 29.12.2004г. № 190-ФЗ;</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Федеральный закон от 24.06.1998 N 89-ФЗ "Об отходах производства и потребления";</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Постановление Правительства РФ от 29.11.1999 N 1309 «О Порядке создания убежищ и иных объектов гражданской обороны»;</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 xml:space="preserve">Приказ </w:t>
      </w:r>
      <w:proofErr w:type="spellStart"/>
      <w:r w:rsidRPr="00E53D79">
        <w:rPr>
          <w:rFonts w:ascii="Times New Roman" w:hAnsi="Times New Roman" w:cs="Times New Roman"/>
          <w:sz w:val="24"/>
          <w:szCs w:val="24"/>
        </w:rPr>
        <w:t>Минспорта</w:t>
      </w:r>
      <w:proofErr w:type="spellEnd"/>
      <w:r w:rsidRPr="00E53D79">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E53D79" w:rsidRPr="00E53D79" w:rsidRDefault="00E53D79" w:rsidP="00E53D79">
      <w:pPr>
        <w:tabs>
          <w:tab w:val="left" w:pos="709"/>
          <w:tab w:val="left" w:pos="993"/>
        </w:tabs>
        <w:autoSpaceDE w:val="0"/>
        <w:autoSpaceDN w:val="0"/>
        <w:adjustRightInd w:val="0"/>
        <w:spacing w:after="0"/>
        <w:jc w:val="both"/>
        <w:rPr>
          <w:rFonts w:ascii="Times New Roman" w:hAnsi="Times New Roman" w:cs="Times New Roman"/>
          <w:sz w:val="24"/>
          <w:szCs w:val="24"/>
        </w:rPr>
      </w:pPr>
      <w:r w:rsidRPr="00E53D79">
        <w:rPr>
          <w:rFonts w:ascii="Times New Roman" w:hAnsi="Times New Roman" w:cs="Times New Roman"/>
          <w:sz w:val="24"/>
          <w:szCs w:val="24"/>
        </w:rPr>
        <w:t xml:space="preserve">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w:t>
      </w:r>
      <w:r w:rsidRPr="00E53D79">
        <w:rPr>
          <w:rFonts w:ascii="Times New Roman" w:hAnsi="Times New Roman" w:cs="Times New Roman"/>
          <w:sz w:val="24"/>
          <w:szCs w:val="24"/>
        </w:rPr>
        <w:lastRenderedPageBreak/>
        <w:t>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E53D79" w:rsidRPr="00A87839" w:rsidRDefault="00E53D79" w:rsidP="00A8783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A87839">
        <w:rPr>
          <w:rFonts w:ascii="Times New Roman" w:hAnsi="Times New Roman" w:cs="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A87839">
        <w:rPr>
          <w:rFonts w:ascii="Times New Roman" w:hAnsi="Times New Roman" w:cs="Times New Roman"/>
          <w:sz w:val="24"/>
          <w:szCs w:val="24"/>
        </w:rPr>
        <w:t>Минспорта</w:t>
      </w:r>
      <w:proofErr w:type="spellEnd"/>
      <w:r w:rsidRPr="00A87839">
        <w:rPr>
          <w:rFonts w:ascii="Times New Roman" w:hAnsi="Times New Roman" w:cs="Times New Roman"/>
          <w:sz w:val="24"/>
          <w:szCs w:val="24"/>
        </w:rPr>
        <w:t xml:space="preserve"> России от 30 декабря 2021 года № 1089;</w:t>
      </w:r>
    </w:p>
    <w:p w:rsidR="00E53D79" w:rsidRPr="00A87839" w:rsidRDefault="00E53D79" w:rsidP="00A8783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A87839">
        <w:rPr>
          <w:rFonts w:ascii="Times New Roman" w:hAnsi="Times New Roman" w:cs="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E53D79" w:rsidRPr="00A87839" w:rsidRDefault="00E53D79" w:rsidP="00A8783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A87839">
        <w:rPr>
          <w:rFonts w:ascii="Times New Roman" w:hAnsi="Times New Roman" w:cs="Times New Roman"/>
          <w:sz w:val="24"/>
          <w:szCs w:val="24"/>
        </w:rPr>
        <w:t xml:space="preserve">Методические </w:t>
      </w:r>
      <w:hyperlink r:id="rId9" w:history="1">
        <w:r w:rsidRPr="00A87839">
          <w:rPr>
            <w:rStyle w:val="a4"/>
            <w:rFonts w:ascii="Times New Roman" w:hAnsi="Times New Roman" w:cs="Times New Roman"/>
            <w:color w:val="auto"/>
            <w:sz w:val="24"/>
            <w:szCs w:val="24"/>
          </w:rPr>
          <w:t>указания</w:t>
        </w:r>
      </w:hyperlink>
      <w:r w:rsidRPr="00A87839">
        <w:rPr>
          <w:rFonts w:ascii="Times New Roman" w:hAnsi="Times New Roman" w:cs="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A87839">
        <w:rPr>
          <w:rFonts w:ascii="Times New Roman" w:hAnsi="Times New Roman" w:cs="Times New Roman"/>
          <w:sz w:val="24"/>
          <w:szCs w:val="24"/>
        </w:rPr>
        <w:t>энергоресурсосбережения</w:t>
      </w:r>
      <w:proofErr w:type="spellEnd"/>
      <w:r w:rsidRPr="00A87839">
        <w:rPr>
          <w:rFonts w:ascii="Times New Roman" w:hAnsi="Times New Roman" w:cs="Times New Roman"/>
          <w:sz w:val="24"/>
          <w:szCs w:val="24"/>
        </w:rPr>
        <w:t xml:space="preserve"> Госстроя России (протокол от 12.07.2002 N 5);</w:t>
      </w:r>
    </w:p>
    <w:p w:rsidR="00E53D79" w:rsidRPr="00A87839" w:rsidRDefault="00E53D79" w:rsidP="00A87839">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A87839">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53D79" w:rsidRDefault="00E53D79" w:rsidP="00A87839">
      <w:pPr>
        <w:tabs>
          <w:tab w:val="left" w:pos="709"/>
          <w:tab w:val="left" w:pos="993"/>
        </w:tabs>
        <w:autoSpaceDE w:val="0"/>
        <w:autoSpaceDN w:val="0"/>
        <w:adjustRightInd w:val="0"/>
        <w:spacing w:after="0" w:line="240" w:lineRule="auto"/>
        <w:jc w:val="both"/>
        <w:rPr>
          <w:rFonts w:ascii="Times New Roman" w:hAnsi="Times New Roman"/>
          <w:sz w:val="28"/>
          <w:szCs w:val="28"/>
        </w:rPr>
      </w:pPr>
      <w:r w:rsidRPr="00A87839">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w:t>
      </w:r>
      <w:r>
        <w:rPr>
          <w:rFonts w:ascii="Times New Roman" w:hAnsi="Times New Roman"/>
          <w:sz w:val="28"/>
          <w:szCs w:val="28"/>
        </w:rPr>
        <w:t xml:space="preserve"> государственного санитарного врача РФ от 28.09.2020 № 28;</w:t>
      </w:r>
    </w:p>
    <w:p w:rsidR="00E53D79" w:rsidRPr="00A87839" w:rsidRDefault="003D4969" w:rsidP="00A87839">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0" w:history="1">
        <w:r w:rsidR="00E53D79">
          <w:rPr>
            <w:rStyle w:val="a4"/>
            <w:rFonts w:ascii="Times New Roman" w:hAnsi="Times New Roman"/>
            <w:color w:val="auto"/>
          </w:rPr>
          <w:t>СП 8.13130.2020</w:t>
        </w:r>
      </w:hyperlink>
      <w:r w:rsidR="00E53D79">
        <w:rPr>
          <w:rFonts w:ascii="Times New Roman" w:hAnsi="Times New Roman"/>
          <w:sz w:val="28"/>
          <w:szCs w:val="28"/>
        </w:rPr>
        <w:t xml:space="preserve"> «Системы противопожарной защиты. Наружное противопожарное </w:t>
      </w:r>
      <w:r w:rsidR="00E53D79" w:rsidRPr="00A87839">
        <w:rPr>
          <w:rFonts w:ascii="Times New Roman" w:hAnsi="Times New Roman" w:cs="Times New Roman"/>
          <w:sz w:val="24"/>
          <w:szCs w:val="24"/>
        </w:rPr>
        <w:t>водоснабжение. Требования пожарной безопасности»;</w:t>
      </w:r>
    </w:p>
    <w:p w:rsidR="00E53D79" w:rsidRPr="00A87839" w:rsidRDefault="00E53D79" w:rsidP="00A87839">
      <w:pPr>
        <w:tabs>
          <w:tab w:val="left" w:pos="709"/>
          <w:tab w:val="left" w:pos="993"/>
        </w:tabs>
        <w:autoSpaceDE w:val="0"/>
        <w:autoSpaceDN w:val="0"/>
        <w:adjustRightInd w:val="0"/>
        <w:spacing w:after="0"/>
        <w:jc w:val="both"/>
        <w:rPr>
          <w:rFonts w:ascii="Times New Roman" w:hAnsi="Times New Roman" w:cs="Times New Roman"/>
          <w:sz w:val="24"/>
          <w:szCs w:val="24"/>
        </w:rPr>
      </w:pPr>
      <w:r w:rsidRPr="00A87839">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E53D79" w:rsidRPr="00A87839" w:rsidRDefault="00E53D79" w:rsidP="00A87839">
      <w:pPr>
        <w:tabs>
          <w:tab w:val="left" w:pos="709"/>
          <w:tab w:val="left" w:pos="993"/>
        </w:tabs>
        <w:autoSpaceDE w:val="0"/>
        <w:autoSpaceDN w:val="0"/>
        <w:adjustRightInd w:val="0"/>
        <w:spacing w:after="0"/>
        <w:jc w:val="both"/>
        <w:rPr>
          <w:rFonts w:ascii="Times New Roman" w:hAnsi="Times New Roman" w:cs="Times New Roman"/>
          <w:sz w:val="24"/>
          <w:szCs w:val="24"/>
        </w:rPr>
      </w:pPr>
      <w:r w:rsidRPr="00A87839">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E53D79" w:rsidRPr="00A87839" w:rsidRDefault="003D4969" w:rsidP="00A87839">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1" w:history="1">
        <w:r w:rsidR="00E53D79" w:rsidRPr="00A87839">
          <w:rPr>
            <w:rStyle w:val="a4"/>
            <w:rFonts w:ascii="Times New Roman" w:hAnsi="Times New Roman" w:cs="Times New Roman"/>
            <w:color w:val="auto"/>
            <w:sz w:val="24"/>
            <w:szCs w:val="24"/>
          </w:rPr>
          <w:t>СП 31.13330.2021</w:t>
        </w:r>
      </w:hyperlink>
      <w:r w:rsidR="00E53D79" w:rsidRPr="00A87839">
        <w:rPr>
          <w:rFonts w:ascii="Times New Roman" w:hAnsi="Times New Roman" w:cs="Times New Roman"/>
          <w:sz w:val="24"/>
          <w:szCs w:val="24"/>
        </w:rPr>
        <w:t xml:space="preserve"> «СНиП 2.04.02-84* Водоснабжение. Наружные сети и сооружения»;</w:t>
      </w:r>
    </w:p>
    <w:p w:rsidR="00E53D79" w:rsidRPr="00A87839" w:rsidRDefault="00E53D79" w:rsidP="00A87839">
      <w:pPr>
        <w:tabs>
          <w:tab w:val="left" w:pos="709"/>
          <w:tab w:val="left" w:pos="993"/>
        </w:tabs>
        <w:autoSpaceDE w:val="0"/>
        <w:autoSpaceDN w:val="0"/>
        <w:adjustRightInd w:val="0"/>
        <w:spacing w:after="0"/>
        <w:jc w:val="both"/>
        <w:rPr>
          <w:rFonts w:ascii="Times New Roman" w:hAnsi="Times New Roman" w:cs="Times New Roman"/>
          <w:sz w:val="24"/>
          <w:szCs w:val="24"/>
        </w:rPr>
      </w:pPr>
      <w:r w:rsidRPr="00A87839">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E53D79" w:rsidRPr="00A87839" w:rsidRDefault="003D4969" w:rsidP="00A87839">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2" w:history="1">
        <w:r w:rsidR="00E53D79" w:rsidRPr="00A87839">
          <w:rPr>
            <w:rStyle w:val="a4"/>
            <w:rFonts w:ascii="Times New Roman" w:hAnsi="Times New Roman" w:cs="Times New Roman"/>
            <w:color w:val="auto"/>
            <w:sz w:val="24"/>
            <w:szCs w:val="24"/>
          </w:rPr>
          <w:t>СП 62.13330.2011</w:t>
        </w:r>
      </w:hyperlink>
      <w:r w:rsidR="00E53D79" w:rsidRPr="00A87839">
        <w:rPr>
          <w:rFonts w:ascii="Times New Roman" w:hAnsi="Times New Roman" w:cs="Times New Roman"/>
          <w:sz w:val="24"/>
          <w:szCs w:val="24"/>
        </w:rPr>
        <w:t xml:space="preserve"> «СНиП 42-01-2002 Газораспределительные системы»;</w:t>
      </w:r>
    </w:p>
    <w:p w:rsidR="00E53D79" w:rsidRPr="00A87839" w:rsidRDefault="003D4969" w:rsidP="00A87839">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3" w:history="1">
        <w:r w:rsidR="00E53D79" w:rsidRPr="00A87839">
          <w:rPr>
            <w:rStyle w:val="a4"/>
            <w:rFonts w:ascii="Times New Roman" w:hAnsi="Times New Roman" w:cs="Times New Roman"/>
            <w:color w:val="auto"/>
            <w:sz w:val="24"/>
            <w:szCs w:val="24"/>
          </w:rPr>
          <w:t>СП 76.13330.2016</w:t>
        </w:r>
      </w:hyperlink>
      <w:r w:rsidR="00E53D79" w:rsidRPr="00A87839">
        <w:rPr>
          <w:rFonts w:ascii="Times New Roman" w:hAnsi="Times New Roman" w:cs="Times New Roman"/>
          <w:sz w:val="24"/>
          <w:szCs w:val="24"/>
        </w:rPr>
        <w:t xml:space="preserve"> «СНиП 3.05.06-85 Электротехнические устройства»;</w:t>
      </w:r>
    </w:p>
    <w:p w:rsidR="00E53D79" w:rsidRPr="00A87839" w:rsidRDefault="00E53D79" w:rsidP="00A87839">
      <w:pPr>
        <w:tabs>
          <w:tab w:val="left" w:pos="709"/>
          <w:tab w:val="left" w:pos="993"/>
        </w:tabs>
        <w:autoSpaceDE w:val="0"/>
        <w:autoSpaceDN w:val="0"/>
        <w:adjustRightInd w:val="0"/>
        <w:spacing w:after="0"/>
        <w:jc w:val="both"/>
        <w:rPr>
          <w:rFonts w:ascii="Times New Roman" w:hAnsi="Times New Roman" w:cs="Times New Roman"/>
          <w:sz w:val="24"/>
          <w:szCs w:val="24"/>
        </w:rPr>
      </w:pPr>
      <w:r w:rsidRPr="00A87839">
        <w:rPr>
          <w:rFonts w:ascii="Times New Roman" w:hAnsi="Times New Roman" w:cs="Times New Roman"/>
          <w:sz w:val="24"/>
          <w:szCs w:val="24"/>
        </w:rPr>
        <w:t xml:space="preserve">СП 88.13330.2022 «Свод правил. Защитные сооружения гражданской обороны. СНиП </w:t>
      </w:r>
      <w:r w:rsidRPr="00A87839">
        <w:rPr>
          <w:rFonts w:ascii="Times New Roman" w:hAnsi="Times New Roman" w:cs="Times New Roman"/>
          <w:sz w:val="24"/>
          <w:szCs w:val="24"/>
          <w:lang w:val="en-US"/>
        </w:rPr>
        <w:t>II</w:t>
      </w:r>
      <w:r w:rsidRPr="00A87839">
        <w:rPr>
          <w:rFonts w:ascii="Times New Roman" w:hAnsi="Times New Roman" w:cs="Times New Roman"/>
          <w:sz w:val="24"/>
          <w:szCs w:val="24"/>
        </w:rPr>
        <w:t>-11-77»;</w:t>
      </w:r>
    </w:p>
    <w:p w:rsidR="00E53D79" w:rsidRDefault="003D4969" w:rsidP="00A87839">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4" w:history="1">
        <w:r w:rsidR="00E53D79" w:rsidRPr="00A87839">
          <w:rPr>
            <w:rStyle w:val="a4"/>
            <w:rFonts w:ascii="Times New Roman" w:hAnsi="Times New Roman" w:cs="Times New Roman"/>
            <w:color w:val="auto"/>
            <w:sz w:val="24"/>
            <w:szCs w:val="24"/>
          </w:rPr>
          <w:t>СП 124.13330.2012</w:t>
        </w:r>
      </w:hyperlink>
      <w:r w:rsidR="00E53D79" w:rsidRPr="00A87839">
        <w:rPr>
          <w:rFonts w:ascii="Times New Roman" w:hAnsi="Times New Roman" w:cs="Times New Roman"/>
          <w:sz w:val="24"/>
          <w:szCs w:val="24"/>
        </w:rPr>
        <w:t xml:space="preserve"> «СНиП 41-02-2003 Тепловые сети»;</w:t>
      </w:r>
    </w:p>
    <w:p w:rsidR="003C0934" w:rsidRPr="003C0934" w:rsidRDefault="003C0934" w:rsidP="003C0934">
      <w:pPr>
        <w:spacing w:after="160" w:line="259" w:lineRule="auto"/>
        <w:rPr>
          <w:rFonts w:ascii="Times New Roman" w:hAnsi="Times New Roman"/>
        </w:rPr>
      </w:pPr>
      <w:r w:rsidRPr="003C0934">
        <w:rPr>
          <w:rFonts w:ascii="Times New Roman" w:hAnsi="Times New Roman"/>
        </w:rPr>
        <w:t>СП 131.13330.2025 «СНиП 23-01-99* Строительная климатология;</w:t>
      </w:r>
    </w:p>
    <w:p w:rsidR="00E53D79" w:rsidRPr="00A87839" w:rsidRDefault="00E53D79" w:rsidP="00A87839">
      <w:pPr>
        <w:tabs>
          <w:tab w:val="left" w:pos="709"/>
          <w:tab w:val="left" w:pos="993"/>
        </w:tabs>
        <w:autoSpaceDE w:val="0"/>
        <w:autoSpaceDN w:val="0"/>
        <w:adjustRightInd w:val="0"/>
        <w:spacing w:after="0"/>
        <w:jc w:val="both"/>
        <w:rPr>
          <w:rFonts w:ascii="Times New Roman" w:hAnsi="Times New Roman" w:cs="Times New Roman"/>
          <w:sz w:val="24"/>
          <w:szCs w:val="24"/>
        </w:rPr>
      </w:pPr>
      <w:r w:rsidRPr="00A87839">
        <w:rPr>
          <w:rFonts w:ascii="Times New Roman" w:hAnsi="Times New Roman" w:cs="Times New Roman"/>
          <w:sz w:val="24"/>
          <w:szCs w:val="24"/>
        </w:rPr>
        <w:t>СП 251.1325800.2016 «Здания общеобразовательных организаций. Правила проектирования»;</w:t>
      </w:r>
    </w:p>
    <w:p w:rsidR="00E53D79" w:rsidRPr="00A87839" w:rsidRDefault="00E53D79" w:rsidP="00A87839">
      <w:pPr>
        <w:tabs>
          <w:tab w:val="left" w:pos="709"/>
          <w:tab w:val="left" w:pos="993"/>
        </w:tabs>
        <w:autoSpaceDE w:val="0"/>
        <w:autoSpaceDN w:val="0"/>
        <w:adjustRightInd w:val="0"/>
        <w:spacing w:after="0"/>
        <w:jc w:val="both"/>
        <w:rPr>
          <w:rFonts w:ascii="Times New Roman" w:hAnsi="Times New Roman" w:cs="Times New Roman"/>
          <w:sz w:val="24"/>
          <w:szCs w:val="24"/>
        </w:rPr>
      </w:pPr>
      <w:r w:rsidRPr="00A87839">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E53D79" w:rsidRPr="00A87839" w:rsidRDefault="003D4969" w:rsidP="00A87839">
      <w:pPr>
        <w:pStyle w:val="ConsPlusNormal"/>
        <w:jc w:val="both"/>
        <w:rPr>
          <w:rFonts w:ascii="Times New Roman" w:eastAsiaTheme="minorHAnsi" w:hAnsi="Times New Roman" w:cs="Times New Roman"/>
          <w:sz w:val="24"/>
          <w:szCs w:val="24"/>
          <w:lang w:eastAsia="en-US"/>
        </w:rPr>
      </w:pPr>
      <w:hyperlink r:id="rId15" w:tooltip="Ссылка на КонсультантПлюс" w:history="1">
        <w:r w:rsidR="00E53D79" w:rsidRPr="00A87839">
          <w:rPr>
            <w:rStyle w:val="a4"/>
            <w:rFonts w:ascii="Times New Roman" w:eastAsiaTheme="minorHAnsi" w:hAnsi="Times New Roman" w:cs="Times New Roman"/>
            <w:color w:val="auto"/>
            <w:sz w:val="24"/>
            <w:szCs w:val="24"/>
            <w:lang w:eastAsia="en-US"/>
          </w:rPr>
          <w:t>ГОСТ 33150-2014</w:t>
        </w:r>
      </w:hyperlink>
      <w:r w:rsidR="00E53D79" w:rsidRPr="00A87839">
        <w:rPr>
          <w:rFonts w:ascii="Times New Roman" w:eastAsiaTheme="minorHAnsi" w:hAnsi="Times New Roman" w:cs="Times New Roman"/>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E53D79" w:rsidRPr="00A87839" w:rsidRDefault="00E53D79" w:rsidP="00A87839">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p>
    <w:p w:rsidR="00E53D79" w:rsidRPr="00A87839" w:rsidRDefault="00E53D79" w:rsidP="00A87839">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A87839">
        <w:rPr>
          <w:rFonts w:ascii="Times New Roman" w:hAnsi="Times New Roman" w:cs="Times New Roman"/>
          <w:sz w:val="24"/>
          <w:szCs w:val="24"/>
        </w:rPr>
        <w:t xml:space="preserve">При применении настоящих Нормативов рекомендуется проверять  актуальность ссылок на указанные выше нормативные акты. </w:t>
      </w:r>
    </w:p>
    <w:p w:rsidR="00E53D79" w:rsidRPr="00A87839" w:rsidRDefault="00E53D79" w:rsidP="00A87839">
      <w:pPr>
        <w:keepNext/>
        <w:spacing w:before="240" w:after="60" w:line="240" w:lineRule="auto"/>
        <w:jc w:val="center"/>
        <w:outlineLvl w:val="0"/>
        <w:rPr>
          <w:rFonts w:ascii="Times New Roman" w:eastAsiaTheme="majorEastAsia" w:hAnsi="Times New Roman" w:cs="Times New Roman"/>
          <w:b/>
          <w:bCs/>
          <w:color w:val="000000" w:themeColor="text1"/>
          <w:kern w:val="32"/>
          <w:sz w:val="28"/>
          <w:szCs w:val="28"/>
        </w:rPr>
      </w:pPr>
      <w:bookmarkStart w:id="37" w:name="_Toc207712530"/>
      <w:bookmarkStart w:id="38" w:name="_Toc194866755"/>
      <w:bookmarkStart w:id="39" w:name="_Toc184354836"/>
      <w:r w:rsidRPr="00A87839">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A87839">
        <w:rPr>
          <w:rFonts w:ascii="Times New Roman" w:eastAsiaTheme="majorEastAsia" w:hAnsi="Times New Roman" w:cs="Times New Roman"/>
          <w:b/>
          <w:bCs/>
          <w:color w:val="000000" w:themeColor="text1"/>
          <w:kern w:val="32"/>
          <w:sz w:val="28"/>
          <w:szCs w:val="28"/>
        </w:rPr>
        <w:t>нормативов градостроительного проектирования муниципального образования «Краснополянское сельское поселение» Песчанокопского района Ростовской области</w:t>
      </w:r>
      <w:bookmarkEnd w:id="37"/>
      <w:bookmarkEnd w:id="38"/>
      <w:bookmarkEnd w:id="39"/>
    </w:p>
    <w:p w:rsidR="00E53D79" w:rsidRPr="00A87839" w:rsidRDefault="00E53D79" w:rsidP="00E53D79">
      <w:pPr>
        <w:keepNext/>
        <w:spacing w:before="240" w:after="240" w:line="240" w:lineRule="auto"/>
        <w:ind w:left="709"/>
        <w:outlineLvl w:val="1"/>
        <w:rPr>
          <w:rFonts w:ascii="Times New Roman" w:eastAsiaTheme="majorEastAsia" w:hAnsi="Times New Roman" w:cs="Times New Roman"/>
          <w:b/>
          <w:bCs/>
          <w:iCs/>
          <w:sz w:val="28"/>
          <w:szCs w:val="28"/>
        </w:rPr>
      </w:pPr>
      <w:bookmarkStart w:id="40" w:name="_Toc207712531"/>
      <w:bookmarkStart w:id="41" w:name="_Toc194866756"/>
      <w:bookmarkStart w:id="42" w:name="_Toc184354837"/>
      <w:r w:rsidRPr="00A87839">
        <w:rPr>
          <w:rFonts w:ascii="Times New Roman" w:eastAsiaTheme="majorEastAsia" w:hAnsi="Times New Roman" w:cs="Times New Roman"/>
          <w:b/>
          <w:bCs/>
          <w:iCs/>
          <w:sz w:val="28"/>
          <w:szCs w:val="28"/>
        </w:rPr>
        <w:t>4.Информация о современном состоянии, прогнозе развития поселения</w:t>
      </w:r>
      <w:bookmarkEnd w:id="40"/>
      <w:bookmarkEnd w:id="41"/>
      <w:bookmarkEnd w:id="42"/>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Краснополянское сельское поселение расположено на юго-восточной окраине Песчанокопского района. </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 территории Краснополянского сельского поселения протекает река </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Егорлык.</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Расстояние по автодорогам до г. Ростова-на-Дону 216 км., </w:t>
      </w:r>
      <w:proofErr w:type="gramStart"/>
      <w:r>
        <w:rPr>
          <w:rFonts w:ascii="Times New Roman" w:hAnsi="Times New Roman"/>
          <w:sz w:val="28"/>
          <w:szCs w:val="28"/>
        </w:rPr>
        <w:t>до</w:t>
      </w:r>
      <w:proofErr w:type="gramEnd"/>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Песчанокопское 50 км.</w:t>
      </w:r>
    </w:p>
    <w:p w:rsidR="003C0934" w:rsidRPr="003C0934" w:rsidRDefault="003C0934" w:rsidP="003C0934">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sidRPr="003C0934">
        <w:rPr>
          <w:rFonts w:ascii="Times New Roman" w:hAnsi="Times New Roman"/>
          <w:sz w:val="28"/>
          <w:szCs w:val="28"/>
        </w:rPr>
        <w:t>Климатический район по приложению</w:t>
      </w:r>
      <w:proofErr w:type="gramStart"/>
      <w:r w:rsidRPr="003C0934">
        <w:rPr>
          <w:rFonts w:ascii="Times New Roman" w:hAnsi="Times New Roman"/>
          <w:sz w:val="28"/>
          <w:szCs w:val="28"/>
        </w:rPr>
        <w:t xml:space="preserve"> А</w:t>
      </w:r>
      <w:proofErr w:type="gramEnd"/>
      <w:r w:rsidRPr="003C0934">
        <w:rPr>
          <w:rFonts w:ascii="Times New Roman" w:hAnsi="Times New Roman"/>
          <w:sz w:val="28"/>
          <w:szCs w:val="28"/>
        </w:rPr>
        <w:t xml:space="preserve"> к СП 131.13330.2025 – III В.</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Площадь территории 28 690,10 га.</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по состоянию на «01» января 2025г.  3 358 чел. </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Поселение состоит из 1 населённого пункта:</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Красная</w:t>
      </w:r>
      <w:proofErr w:type="gramEnd"/>
      <w:r>
        <w:rPr>
          <w:rFonts w:ascii="Times New Roman" w:hAnsi="Times New Roman"/>
          <w:sz w:val="28"/>
          <w:szCs w:val="28"/>
        </w:rPr>
        <w:t xml:space="preserve"> Поляна (3 219 </w:t>
      </w:r>
      <w:r>
        <w:rPr>
          <w:rStyle w:val="ae"/>
          <w:rFonts w:ascii="Times New Roman" w:hAnsi="Times New Roman"/>
        </w:rPr>
        <w:footnoteReference w:id="1"/>
      </w:r>
      <w:r>
        <w:rPr>
          <w:rFonts w:ascii="Times New Roman" w:hAnsi="Times New Roman"/>
          <w:sz w:val="28"/>
          <w:szCs w:val="28"/>
        </w:rPr>
        <w:t>чел.).</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поселения находятся:</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амбулаторий 1 ед.;</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дошкольных образовательных организаций 1 ед. на 53 мест;</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общеобразовательных организаций 1 ед. на 225 мест;</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стадионов 1 ед.;</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спортивных залов 1 ед.;</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ДК 1 ед.;</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детских школ искусств 1 ед.;</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библиотек 1 ед.;</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культовых учреждений 1 ед.</w:t>
      </w: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p>
    <w:p w:rsidR="00E53D79" w:rsidRDefault="00E53D79" w:rsidP="00A87839">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p>
    <w:p w:rsidR="00E53D79" w:rsidRPr="00A87839" w:rsidRDefault="00E53D79" w:rsidP="00E53D79">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3" w:name="_Toc207712532"/>
      <w:r w:rsidRPr="00A87839">
        <w:rPr>
          <w:rFonts w:ascii="Times New Roman" w:eastAsiaTheme="majorEastAsia" w:hAnsi="Times New Roman" w:cs="Times New Roman"/>
          <w:b/>
          <w:bCs/>
          <w:iCs/>
          <w:sz w:val="28"/>
          <w:szCs w:val="28"/>
        </w:rPr>
        <w:t>5.Обоснование значений нормируемых показателей в области транспорта и автомобильных дорог</w:t>
      </w:r>
      <w:bookmarkEnd w:id="43"/>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5.1Объекты местного значения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roofErr w:type="gramEnd"/>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5.5Обеспеченность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w:t>
      </w:r>
      <w:proofErr w:type="gramStart"/>
      <w:r>
        <w:rPr>
          <w:rFonts w:ascii="Times New Roman" w:eastAsiaTheme="minorEastAsia" w:hAnsi="Times New Roman" w:cs="Times New Roman"/>
          <w:sz w:val="28"/>
          <w:szCs w:val="28"/>
        </w:rPr>
        <w:t>из</w:t>
      </w:r>
      <w:proofErr w:type="gramEnd"/>
      <w:r>
        <w:rPr>
          <w:rFonts w:ascii="Times New Roman" w:eastAsiaTheme="minorEastAsia" w:hAnsi="Times New Roman" w:cs="Times New Roman"/>
          <w:sz w:val="28"/>
          <w:szCs w:val="28"/>
        </w:rPr>
        <w:t xml:space="preserve">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w:t>
      </w:r>
      <w:r>
        <w:rPr>
          <w:rFonts w:ascii="Times New Roman" w:eastAsiaTheme="minorEastAsia" w:hAnsi="Times New Roman" w:cs="Times New Roman"/>
          <w:sz w:val="28"/>
          <w:szCs w:val="28"/>
        </w:rPr>
        <w:lastRenderedPageBreak/>
        <w:t>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5.7</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E53D79" w:rsidRDefault="00E53D79" w:rsidP="00E53D79">
      <w:pPr>
        <w:keepNext/>
        <w:spacing w:before="240" w:after="120" w:line="240" w:lineRule="auto"/>
        <w:jc w:val="both"/>
        <w:outlineLvl w:val="3"/>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w:t>
      </w:r>
      <w:proofErr w:type="gramEnd"/>
      <w:r>
        <w:rPr>
          <w:rFonts w:ascii="Times New Roman" w:eastAsiaTheme="minorEastAsia" w:hAnsi="Times New Roman" w:cs="Times New Roman"/>
          <w:bCs/>
          <w:sz w:val="24"/>
          <w:szCs w:val="24"/>
        </w:rPr>
        <w:t xml:space="preserve"> </w:t>
      </w:r>
      <w:proofErr w:type="gramStart"/>
      <w:r>
        <w:rPr>
          <w:rFonts w:ascii="Times New Roman" w:eastAsiaTheme="minorEastAsia" w:hAnsi="Times New Roman" w:cs="Times New Roman"/>
          <w:bCs/>
          <w:sz w:val="24"/>
          <w:szCs w:val="24"/>
        </w:rPr>
        <w:t>РФ от 31 января 2017 года № НА-19-р и СП 42.13330-2016)</w:t>
      </w:r>
      <w:proofErr w:type="gramEnd"/>
    </w:p>
    <w:tbl>
      <w:tblPr>
        <w:tblStyle w:val="af"/>
        <w:tblW w:w="0" w:type="auto"/>
        <w:tblInd w:w="108" w:type="dxa"/>
        <w:tblLayout w:type="fixed"/>
        <w:tblLook w:val="04A0" w:firstRow="1" w:lastRow="0" w:firstColumn="1" w:lastColumn="0" w:noHBand="0" w:noVBand="1"/>
      </w:tblPr>
      <w:tblGrid>
        <w:gridCol w:w="7088"/>
        <w:gridCol w:w="2268"/>
      </w:tblGrid>
      <w:tr w:rsidR="00E53D79" w:rsidTr="00E53D79">
        <w:trPr>
          <w:trHeight w:val="299"/>
        </w:trPr>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Максимальное рекомендованное расстояние, </w:t>
            </w:r>
            <w:proofErr w:type="gramStart"/>
            <w:r>
              <w:rPr>
                <w:rFonts w:ascii="Times New Roman" w:hAnsi="Times New Roman" w:cs="Times New Roman"/>
                <w:bCs/>
                <w:sz w:val="24"/>
                <w:szCs w:val="24"/>
                <w:lang w:eastAsia="en-US"/>
              </w:rPr>
              <w:t>м</w:t>
            </w:r>
            <w:proofErr w:type="gramEnd"/>
          </w:p>
        </w:tc>
      </w:tr>
      <w:tr w:rsidR="00E53D79" w:rsidTr="00E53D79">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E53D79" w:rsidTr="00E53D79">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E53D79" w:rsidTr="00E53D79">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E53D79" w:rsidTr="00E53D79">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Поликлиники и больницы, учреждения (отделения) социального 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E53D79" w:rsidTr="00E53D79">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E53D79" w:rsidTr="00E53D79">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E53D79" w:rsidTr="00E53D79">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E53D79" w:rsidTr="00E53D79">
        <w:tc>
          <w:tcPr>
            <w:tcW w:w="708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E53D79" w:rsidRDefault="00E53D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E53D79" w:rsidRPr="00A87839" w:rsidRDefault="00E53D79" w:rsidP="00E53D79">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4" w:name="_Toc207712533"/>
      <w:bookmarkStart w:id="45" w:name="_Toc194866758"/>
      <w:bookmarkStart w:id="46" w:name="_Toc184354839"/>
      <w:r w:rsidRPr="00A87839">
        <w:rPr>
          <w:rFonts w:ascii="Times New Roman" w:eastAsiaTheme="majorEastAsia" w:hAnsi="Times New Roman" w:cs="Times New Roman"/>
          <w:b/>
          <w:bCs/>
          <w:iCs/>
          <w:sz w:val="28"/>
          <w:szCs w:val="28"/>
        </w:rPr>
        <w:t>6.Обоснование значений нормируемых показателей в области содействия жилищному строительству</w:t>
      </w:r>
      <w:bookmarkEnd w:id="44"/>
      <w:bookmarkEnd w:id="45"/>
      <w:bookmarkEnd w:id="46"/>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6.1Полномочия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6.2</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части обеспечения нормируемыми элементами придомовой территории показатели, приведённые в настоящих Нормативах, обоснованы в п. 5.9 СП </w:t>
      </w:r>
      <w:r>
        <w:rPr>
          <w:rFonts w:ascii="Times New Roman" w:eastAsiaTheme="minorEastAsia" w:hAnsi="Times New Roman" w:cs="Times New Roman"/>
          <w:sz w:val="28"/>
          <w:szCs w:val="28"/>
        </w:rPr>
        <w:lastRenderedPageBreak/>
        <w:t xml:space="preserve">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посетителей жилой застройки, обоснован пунктом 11.32 СП 42.13330.2016. </w:t>
      </w:r>
    </w:p>
    <w:p w:rsidR="00E53D79" w:rsidRPr="00A87839" w:rsidRDefault="00E53D79" w:rsidP="00E53D79">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47" w:name="_Toc207712534"/>
      <w:r w:rsidRPr="00A87839">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47"/>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7.1Полномочия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E53D79" w:rsidRDefault="00E53D79" w:rsidP="00E53D7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E53D79" w:rsidTr="00E53D79">
        <w:trPr>
          <w:tblHeader/>
        </w:trPr>
        <w:tc>
          <w:tcPr>
            <w:tcW w:w="141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E53D79" w:rsidTr="00E53D79">
        <w:tc>
          <w:tcPr>
            <w:tcW w:w="141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 до 5 000 человек</w:t>
            </w:r>
          </w:p>
        </w:tc>
        <w:tc>
          <w:tcPr>
            <w:tcW w:w="7938" w:type="dxa"/>
            <w:tcBorders>
              <w:top w:val="single" w:sz="4" w:space="0" w:color="auto"/>
              <w:left w:val="single" w:sz="4" w:space="0" w:color="auto"/>
              <w:bottom w:val="single" w:sz="4" w:space="0" w:color="auto"/>
              <w:right w:val="single" w:sz="4" w:space="0" w:color="auto"/>
            </w:tcBorders>
            <w:hideMark/>
          </w:tcPr>
          <w:p w:rsidR="00E53D79" w:rsidRDefault="00E53D79">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E53D79" w:rsidRPr="00A87839" w:rsidRDefault="00E53D79" w:rsidP="00E53D79">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8" w:name="_Toc207712535"/>
      <w:r w:rsidRPr="00A87839">
        <w:rPr>
          <w:rFonts w:ascii="Times New Roman" w:eastAsiaTheme="majorEastAsia" w:hAnsi="Times New Roman" w:cs="Times New Roman"/>
          <w:b/>
          <w:bCs/>
          <w:iCs/>
          <w:sz w:val="28"/>
          <w:szCs w:val="28"/>
        </w:rPr>
        <w:lastRenderedPageBreak/>
        <w:t>8.Обоснование значений нормируемых показателей в области культуры</w:t>
      </w:r>
      <w:bookmarkEnd w:id="48"/>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8.1Полномочия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w:t>
      </w:r>
      <w:proofErr w:type="gramEnd"/>
      <w:r>
        <w:rPr>
          <w:rFonts w:ascii="Times New Roman" w:eastAsiaTheme="minorEastAsia" w:hAnsi="Times New Roman" w:cs="Times New Roman"/>
          <w:sz w:val="28"/>
          <w:szCs w:val="28"/>
        </w:rPr>
        <w:t xml:space="preserve"> самоуправления в Российской Федерации». </w:t>
      </w:r>
    </w:p>
    <w:p w:rsidR="00E53D79" w:rsidRPr="00A8783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w:t>
      </w:r>
      <w:r w:rsidRPr="00A87839">
        <w:rPr>
          <w:rFonts w:ascii="Times New Roman" w:eastAsiaTheme="minorEastAsia" w:hAnsi="Times New Roman" w:cs="Times New Roman"/>
          <w:sz w:val="28"/>
          <w:szCs w:val="28"/>
        </w:rPr>
        <w:t>России от 23.10.2023 № Р-2879.</w:t>
      </w:r>
    </w:p>
    <w:p w:rsidR="00E53D79" w:rsidRPr="00A87839" w:rsidRDefault="00E53D79" w:rsidP="00E53D79">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9" w:name="_Toc207712536"/>
      <w:bookmarkStart w:id="50" w:name="_Toc194866761"/>
      <w:bookmarkStart w:id="51" w:name="_Toc184354842"/>
      <w:r w:rsidRPr="00A87839">
        <w:rPr>
          <w:rFonts w:ascii="Times New Roman" w:eastAsiaTheme="majorEastAsia" w:hAnsi="Times New Roman" w:cs="Times New Roman"/>
          <w:b/>
          <w:bCs/>
          <w:iCs/>
          <w:sz w:val="28"/>
          <w:szCs w:val="28"/>
        </w:rPr>
        <w:t>9.Обоснование значений нормируемых показателей в области массового отдыха населения</w:t>
      </w:r>
      <w:bookmarkEnd w:id="49"/>
      <w:bookmarkEnd w:id="50"/>
      <w:bookmarkEnd w:id="51"/>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9.3Обеспеченность пляжами, размещаемыми в зонах отдыха, обоснована пунктом 9.27 СП 42.13330.2016.</w:t>
      </w:r>
    </w:p>
    <w:p w:rsidR="00E53D79" w:rsidRPr="00A87839" w:rsidRDefault="00E53D79" w:rsidP="00E53D79">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2" w:name="_Toc207712537"/>
      <w:r w:rsidRPr="00A87839">
        <w:rPr>
          <w:rFonts w:ascii="Times New Roman" w:eastAsiaTheme="majorEastAsia" w:hAnsi="Times New Roman" w:cs="Times New Roman"/>
          <w:b/>
          <w:bCs/>
          <w:iCs/>
          <w:sz w:val="28"/>
          <w:szCs w:val="28"/>
        </w:rPr>
        <w:t>10.Обоснование значений нормируемых показателей в области благоустройства и озеленения</w:t>
      </w:r>
      <w:bookmarkEnd w:id="52"/>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A87839">
        <w:rPr>
          <w:rFonts w:ascii="Times New Roman" w:eastAsiaTheme="minorEastAsia" w:hAnsi="Times New Roman" w:cs="Times New Roman"/>
          <w:sz w:val="28"/>
          <w:szCs w:val="28"/>
        </w:rPr>
        <w:t>10.1Полномочия органов местного самоуправления</w:t>
      </w:r>
      <w:r>
        <w:rPr>
          <w:rFonts w:ascii="Times New Roman" w:eastAsiaTheme="minorEastAsia" w:hAnsi="Times New Roman" w:cs="Times New Roman"/>
          <w:sz w:val="28"/>
          <w:szCs w:val="28"/>
        </w:rPr>
        <w:t xml:space="preserve">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E53D79" w:rsidRDefault="00E53D79" w:rsidP="00E53D79">
      <w:pPr>
        <w:pStyle w:val="ac"/>
        <w:tabs>
          <w:tab w:val="left" w:pos="1276"/>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10.2Обеспеченность населения уборными в населённых пунктах принята в соответствии с приложением</w:t>
      </w:r>
      <w:proofErr w:type="gramStart"/>
      <w:r>
        <w:rPr>
          <w:rFonts w:ascii="Times New Roman" w:eastAsiaTheme="minorEastAsia" w:hAnsi="Times New Roman" w:cs="Times New Roman"/>
          <w:sz w:val="28"/>
          <w:szCs w:val="28"/>
        </w:rPr>
        <w:t xml:space="preserve"> Д</w:t>
      </w:r>
      <w:proofErr w:type="gramEnd"/>
      <w:r>
        <w:rPr>
          <w:rFonts w:ascii="Times New Roman" w:eastAsiaTheme="minorEastAsia" w:hAnsi="Times New Roman" w:cs="Times New Roman"/>
          <w:sz w:val="28"/>
          <w:szCs w:val="28"/>
        </w:rPr>
        <w:t xml:space="preserve"> к СП 42.13330.2016. Максимальный радиус доступности соответствует 15 минутам бодрого пешего хода при скорости 4 км/ч.</w:t>
      </w:r>
    </w:p>
    <w:p w:rsidR="00E53D79" w:rsidRPr="00A87839" w:rsidRDefault="00E53D79" w:rsidP="00E53D79">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3" w:name="_Toc207712538"/>
      <w:bookmarkStart w:id="54" w:name="_Toc194866763"/>
      <w:bookmarkStart w:id="55" w:name="_Toc184354844"/>
      <w:r w:rsidRPr="00A87839">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53"/>
      <w:bookmarkEnd w:id="54"/>
      <w:bookmarkEnd w:id="55"/>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w:t>
      </w:r>
      <w:proofErr w:type="gramEnd"/>
      <w:r>
        <w:rPr>
          <w:rFonts w:ascii="Times New Roman" w:eastAsiaTheme="minorEastAsia" w:hAnsi="Times New Roman" w:cs="Times New Roman"/>
          <w:sz w:val="28"/>
          <w:szCs w:val="28"/>
        </w:rPr>
        <w:t xml:space="preserve"> нормативных правовых актов.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E53D79" w:rsidRPr="00A87839" w:rsidRDefault="00E53D79" w:rsidP="00E53D79">
      <w:pPr>
        <w:tabs>
          <w:tab w:val="left" w:pos="851"/>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56" w:name="_Toc207712539"/>
      <w:r w:rsidRPr="00A87839">
        <w:rPr>
          <w:rFonts w:ascii="Times New Roman" w:eastAsiaTheme="majorEastAsia" w:hAnsi="Times New Roman" w:cs="Times New Roman"/>
          <w:b/>
          <w:bCs/>
          <w:iCs/>
          <w:sz w:val="28"/>
          <w:szCs w:val="28"/>
        </w:rPr>
        <w:t>12.Обоснование значений нормируемых показателей в области        инженерного обеспечения территорий</w:t>
      </w:r>
      <w:bookmarkEnd w:id="56"/>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12.1Полномочия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w:t>
      </w:r>
      <w:proofErr w:type="gramStart"/>
      <w:r>
        <w:rPr>
          <w:rFonts w:ascii="Times New Roman" w:eastAsiaTheme="minorEastAsia" w:hAnsi="Times New Roman" w:cs="Times New Roman"/>
          <w:sz w:val="28"/>
          <w:szCs w:val="28"/>
        </w:rPr>
        <w:t>Показатели газоснабжения, включённые в основную часть настоящих Нормативов подготовлены</w:t>
      </w:r>
      <w:proofErr w:type="gramEnd"/>
      <w:r>
        <w:rPr>
          <w:rFonts w:ascii="Times New Roman" w:eastAsiaTheme="minorEastAsia" w:hAnsi="Times New Roman" w:cs="Times New Roman"/>
          <w:sz w:val="28"/>
          <w:szCs w:val="28"/>
        </w:rPr>
        <w:t xml:space="preserve">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12.8Нормируемые показатели  для объектов водоснабжения и водоотведения подготовлены на основании:</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 СП 42.13330.2016 «Градостроительство. Планировка и застройка городских и сельских поселений. Актуализированная редакция СНиП 2.07.01-89*»;</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СП 30-102-99 «Планировка и застройка территорий малоэтажного жилищного строительства».</w:t>
      </w:r>
    </w:p>
    <w:p w:rsidR="00E53D79" w:rsidRPr="00A87839" w:rsidRDefault="00E53D79" w:rsidP="00E53D79">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7" w:name="_Toc207712540"/>
      <w:r w:rsidRPr="00A87839">
        <w:rPr>
          <w:rFonts w:ascii="Times New Roman" w:eastAsiaTheme="majorEastAsia" w:hAnsi="Times New Roman" w:cs="Times New Roman"/>
          <w:b/>
          <w:bCs/>
          <w:iCs/>
          <w:sz w:val="28"/>
          <w:szCs w:val="28"/>
        </w:rPr>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7"/>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13.2</w:t>
      </w: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 xml:space="preserve">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13.3</w:t>
      </w:r>
      <w:proofErr w:type="gramStart"/>
      <w:r>
        <w:rPr>
          <w:rFonts w:ascii="Times New Roman" w:eastAsiaTheme="minorEastAsia" w:hAnsi="Times New Roman" w:cs="Times New Roman"/>
          <w:sz w:val="28"/>
          <w:szCs w:val="28"/>
        </w:rPr>
        <w:t>Н</w:t>
      </w:r>
      <w:proofErr w:type="gramEnd"/>
      <w:r>
        <w:rPr>
          <w:rFonts w:ascii="Times New Roman" w:eastAsiaTheme="minorEastAsia" w:hAnsi="Times New Roman" w:cs="Times New Roman"/>
          <w:sz w:val="28"/>
          <w:szCs w:val="28"/>
        </w:rPr>
        <w:t>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13.4Требования к контейнерным площадкам и специальным площадкам устанавливаются СанПиН 2.1.3684-21</w:t>
      </w:r>
    </w:p>
    <w:p w:rsidR="00E53D79" w:rsidRPr="00A87839" w:rsidRDefault="00E53D79" w:rsidP="00E53D79">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8" w:name="_Toc207712541"/>
      <w:bookmarkStart w:id="59" w:name="_Toc194866766"/>
      <w:bookmarkStart w:id="60" w:name="_Toc184354847"/>
      <w:r w:rsidRPr="00A87839">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58"/>
      <w:bookmarkEnd w:id="59"/>
      <w:bookmarkEnd w:id="60"/>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14.3Формула расчета [4]: </w:t>
      </w:r>
    </w:p>
    <w:p w:rsidR="00E53D79" w:rsidRDefault="00E53D79" w:rsidP="00E53D79">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E53D79" w:rsidRDefault="00E53D79" w:rsidP="00E53D79">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E53D79" w:rsidRDefault="00E53D79" w:rsidP="00E53D79">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 - предельные значения расчетных показателей минимально допустимого уровня обеспеченности мест захоронения;</w:t>
      </w:r>
    </w:p>
    <w:p w:rsidR="00E53D79" w:rsidRDefault="00E53D79" w:rsidP="00E53D79">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E53D79" w:rsidRDefault="00E53D79" w:rsidP="00E53D79">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 xml:space="preserve"> - приведенная величина, равная 0,1.</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w:t>
      </w: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w:t>
      </w:r>
      <w:proofErr w:type="gramStart"/>
      <w:r>
        <w:rPr>
          <w:rFonts w:ascii="Times New Roman" w:eastAsiaTheme="minorEastAsia" w:hAnsi="Times New Roman" w:cs="Times New Roman"/>
          <w:sz w:val="28"/>
          <w:szCs w:val="28"/>
        </w:rPr>
        <w:t>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w:t>
      </w:r>
      <w:proofErr w:type="gramEnd"/>
      <w:r>
        <w:rPr>
          <w:rFonts w:ascii="Times New Roman" w:eastAsiaTheme="minorEastAsia" w:hAnsi="Times New Roman" w:cs="Times New Roman"/>
          <w:sz w:val="28"/>
          <w:szCs w:val="28"/>
        </w:rPr>
        <w:t xml:space="preserve"> органом местного самоуправления.</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E53D79" w:rsidRPr="00A87839" w:rsidRDefault="00E53D79" w:rsidP="00E53D79">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1" w:name="_Toc207712542"/>
      <w:bookmarkStart w:id="62" w:name="_Toc194866767"/>
      <w:r w:rsidRPr="00A87839">
        <w:rPr>
          <w:rFonts w:ascii="Times New Roman" w:eastAsiaTheme="majorEastAsia" w:hAnsi="Times New Roman" w:cs="Times New Roman"/>
          <w:b/>
          <w:bCs/>
          <w:iCs/>
          <w:sz w:val="28"/>
          <w:szCs w:val="28"/>
        </w:rPr>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61"/>
      <w:bookmarkEnd w:id="62"/>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15.1Полномочия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
    <w:p w:rsidR="00E53D79" w:rsidRPr="00A87839" w:rsidRDefault="00E53D79" w:rsidP="00E53D79">
      <w:pPr>
        <w:keepNext/>
        <w:spacing w:before="240" w:after="60" w:line="240" w:lineRule="auto"/>
        <w:jc w:val="center"/>
        <w:outlineLvl w:val="0"/>
        <w:rPr>
          <w:rFonts w:ascii="Times New Roman" w:eastAsiaTheme="majorEastAsia" w:hAnsi="Times New Roman" w:cs="Times New Roman"/>
          <w:b/>
          <w:bCs/>
          <w:kern w:val="32"/>
          <w:sz w:val="28"/>
          <w:szCs w:val="28"/>
        </w:rPr>
      </w:pPr>
      <w:bookmarkStart w:id="63" w:name="_Toc194866768"/>
      <w:bookmarkStart w:id="64" w:name="_Toc184354848"/>
      <w:bookmarkStart w:id="65" w:name="_Toc207712543"/>
      <w:r w:rsidRPr="00A87839">
        <w:rPr>
          <w:rFonts w:ascii="Times New Roman" w:eastAsiaTheme="majorEastAsia" w:hAnsi="Times New Roman" w:cs="Times New Roman"/>
          <w:b/>
          <w:bCs/>
          <w:kern w:val="32"/>
          <w:sz w:val="28"/>
          <w:szCs w:val="28"/>
        </w:rPr>
        <w:t xml:space="preserve">Раздел III. Правила и область применения расчетных показателей, содержащихся в основной части нормативов градостроительного </w:t>
      </w:r>
      <w:r w:rsidRPr="00A87839">
        <w:rPr>
          <w:rFonts w:ascii="Times New Roman" w:eastAsiaTheme="majorEastAsia" w:hAnsi="Times New Roman" w:cs="Times New Roman"/>
          <w:b/>
          <w:bCs/>
          <w:kern w:val="32"/>
          <w:sz w:val="28"/>
          <w:szCs w:val="28"/>
        </w:rPr>
        <w:lastRenderedPageBreak/>
        <w:t>проектирования Краснополянского сельского поселения муниципального образования «Песчанокопский район»</w:t>
      </w:r>
      <w:r w:rsidRPr="00A87839">
        <w:rPr>
          <w:rFonts w:ascii="Times New Roman" w:eastAsiaTheme="majorEastAsia" w:hAnsi="Times New Roman" w:cs="Times New Roman"/>
          <w:b/>
          <w:bCs/>
          <w:color w:val="000000" w:themeColor="text1"/>
          <w:kern w:val="32"/>
          <w:sz w:val="28"/>
          <w:szCs w:val="28"/>
        </w:rPr>
        <w:t xml:space="preserve"> Ростовской </w:t>
      </w:r>
      <w:r w:rsidRPr="00A87839">
        <w:rPr>
          <w:rFonts w:ascii="Times New Roman" w:eastAsiaTheme="majorEastAsia" w:hAnsi="Times New Roman" w:cs="Times New Roman"/>
          <w:b/>
          <w:bCs/>
          <w:kern w:val="32"/>
          <w:sz w:val="28"/>
          <w:szCs w:val="28"/>
        </w:rPr>
        <w:t>области</w:t>
      </w:r>
      <w:bookmarkEnd w:id="63"/>
      <w:bookmarkEnd w:id="64"/>
      <w:bookmarkEnd w:id="65"/>
    </w:p>
    <w:p w:rsidR="00E53D79" w:rsidRPr="00A87839" w:rsidRDefault="00E53D79" w:rsidP="00E53D79">
      <w:pPr>
        <w:keepNext/>
        <w:tabs>
          <w:tab w:val="left" w:pos="993"/>
        </w:tabs>
        <w:spacing w:before="240" w:after="240" w:line="240" w:lineRule="auto"/>
        <w:outlineLvl w:val="1"/>
        <w:rPr>
          <w:rFonts w:ascii="Times New Roman" w:eastAsiaTheme="majorEastAsia" w:hAnsi="Times New Roman" w:cs="Times New Roman"/>
          <w:b/>
          <w:bCs/>
          <w:iCs/>
          <w:sz w:val="28"/>
          <w:szCs w:val="28"/>
        </w:rPr>
      </w:pPr>
      <w:bookmarkStart w:id="66" w:name="_Toc207712544"/>
      <w:bookmarkStart w:id="67" w:name="_Toc194866769"/>
      <w:bookmarkStart w:id="68" w:name="_Toc184354849"/>
      <w:r w:rsidRPr="00A87839">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66"/>
      <w:bookmarkEnd w:id="67"/>
      <w:bookmarkEnd w:id="68"/>
      <w:r w:rsidRPr="00A87839">
        <w:rPr>
          <w:rFonts w:ascii="Times New Roman" w:eastAsiaTheme="majorEastAsia" w:hAnsi="Times New Roman" w:cs="Times New Roman"/>
          <w:b/>
          <w:bCs/>
          <w:iCs/>
          <w:sz w:val="28"/>
          <w:szCs w:val="28"/>
        </w:rPr>
        <w:t xml:space="preserve">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roofErr w:type="gramEnd"/>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16.2</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E53D79" w:rsidRPr="00A87839" w:rsidRDefault="00E53D79" w:rsidP="00E53D79">
      <w:pPr>
        <w:keepNext/>
        <w:spacing w:before="240" w:after="240" w:line="240" w:lineRule="auto"/>
        <w:outlineLvl w:val="1"/>
        <w:rPr>
          <w:rFonts w:ascii="Times New Roman" w:eastAsiaTheme="majorEastAsia" w:hAnsi="Times New Roman" w:cs="Times New Roman"/>
          <w:b/>
          <w:bCs/>
          <w:iCs/>
          <w:sz w:val="28"/>
          <w:szCs w:val="28"/>
        </w:rPr>
      </w:pPr>
      <w:bookmarkStart w:id="69" w:name="_Toc194866770"/>
      <w:bookmarkStart w:id="70" w:name="_Toc184354850"/>
      <w:bookmarkStart w:id="71" w:name="_Toc207712545"/>
      <w:r w:rsidRPr="00A87839">
        <w:rPr>
          <w:rFonts w:ascii="Times New Roman" w:eastAsiaTheme="majorEastAsia" w:hAnsi="Times New Roman" w:cs="Times New Roman"/>
          <w:b/>
          <w:bCs/>
          <w:iCs/>
          <w:sz w:val="28"/>
          <w:szCs w:val="28"/>
        </w:rPr>
        <w:t>17.Область применения расчетных показателей настоящих Нормативов</w:t>
      </w:r>
      <w:bookmarkEnd w:id="69"/>
      <w:bookmarkEnd w:id="70"/>
      <w:bookmarkEnd w:id="71"/>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E53D79" w:rsidRDefault="00E53D79" w:rsidP="00E53D7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
    <w:p w:rsidR="00E53D79" w:rsidRDefault="00E53D79" w:rsidP="00246290">
      <w:pPr>
        <w:rPr>
          <w:rFonts w:ascii="Times New Roman" w:hAnsi="Times New Roman" w:cs="Times New Roman"/>
          <w:sz w:val="28"/>
          <w:szCs w:val="28"/>
        </w:rPr>
      </w:pPr>
    </w:p>
    <w:sectPr w:rsidR="00E53D79" w:rsidSect="003D4969">
      <w:pgSz w:w="11906" w:h="16838"/>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080" w:rsidRDefault="00195080" w:rsidP="00246290">
      <w:pPr>
        <w:spacing w:after="0" w:line="240" w:lineRule="auto"/>
      </w:pPr>
      <w:r>
        <w:separator/>
      </w:r>
    </w:p>
  </w:endnote>
  <w:endnote w:type="continuationSeparator" w:id="0">
    <w:p w:rsidR="00195080" w:rsidRDefault="00195080"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080" w:rsidRDefault="00195080" w:rsidP="00246290">
      <w:pPr>
        <w:spacing w:after="0" w:line="240" w:lineRule="auto"/>
      </w:pPr>
      <w:r>
        <w:separator/>
      </w:r>
    </w:p>
  </w:footnote>
  <w:footnote w:type="continuationSeparator" w:id="0">
    <w:p w:rsidR="00195080" w:rsidRDefault="00195080" w:rsidP="00246290">
      <w:pPr>
        <w:spacing w:after="0" w:line="240" w:lineRule="auto"/>
      </w:pPr>
      <w:r>
        <w:continuationSeparator/>
      </w:r>
    </w:p>
  </w:footnote>
  <w:footnote w:id="1">
    <w:p w:rsidR="00E53D79" w:rsidRDefault="00E53D79" w:rsidP="00E53D79">
      <w:pPr>
        <w:pStyle w:val="a5"/>
      </w:pPr>
      <w:r>
        <w:rPr>
          <w:rStyle w:val="ae"/>
        </w:rPr>
        <w:footnoteRef/>
      </w:r>
      <w:r>
        <w:t xml:space="preserve"> Численность населения заимствована из паспорта муниципального образования «Краснополянское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0871A0"/>
    <w:rsid w:val="000D70BA"/>
    <w:rsid w:val="00195080"/>
    <w:rsid w:val="001B652A"/>
    <w:rsid w:val="00246290"/>
    <w:rsid w:val="00273884"/>
    <w:rsid w:val="00312949"/>
    <w:rsid w:val="00345BA6"/>
    <w:rsid w:val="00362692"/>
    <w:rsid w:val="003C0934"/>
    <w:rsid w:val="003D4969"/>
    <w:rsid w:val="004005ED"/>
    <w:rsid w:val="00405FD0"/>
    <w:rsid w:val="00426A44"/>
    <w:rsid w:val="004E3AA2"/>
    <w:rsid w:val="00512333"/>
    <w:rsid w:val="005A2B60"/>
    <w:rsid w:val="0069785C"/>
    <w:rsid w:val="00742145"/>
    <w:rsid w:val="007A1E1E"/>
    <w:rsid w:val="007D34B5"/>
    <w:rsid w:val="00873413"/>
    <w:rsid w:val="008A7682"/>
    <w:rsid w:val="00947AB0"/>
    <w:rsid w:val="00A85617"/>
    <w:rsid w:val="00A87839"/>
    <w:rsid w:val="00AC11CC"/>
    <w:rsid w:val="00B57B8B"/>
    <w:rsid w:val="00B57F02"/>
    <w:rsid w:val="00C11133"/>
    <w:rsid w:val="00D16FBE"/>
    <w:rsid w:val="00DE6D69"/>
    <w:rsid w:val="00E53D79"/>
    <w:rsid w:val="00EA355F"/>
    <w:rsid w:val="00EA471C"/>
    <w:rsid w:val="00EB2217"/>
    <w:rsid w:val="00F621FA"/>
    <w:rsid w:val="00F706B2"/>
    <w:rsid w:val="00F80BC0"/>
    <w:rsid w:val="00F9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405FD0"/>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405FD0"/>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9819">
      <w:bodyDiv w:val="1"/>
      <w:marLeft w:val="0"/>
      <w:marRight w:val="0"/>
      <w:marTop w:val="0"/>
      <w:marBottom w:val="0"/>
      <w:divBdr>
        <w:top w:val="none" w:sz="0" w:space="0" w:color="auto"/>
        <w:left w:val="none" w:sz="0" w:space="0" w:color="auto"/>
        <w:bottom w:val="none" w:sz="0" w:space="0" w:color="auto"/>
        <w:right w:val="none" w:sz="0" w:space="0" w:color="auto"/>
      </w:divBdr>
    </w:div>
    <w:div w:id="473108671">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696127403">
      <w:bodyDiv w:val="1"/>
      <w:marLeft w:val="0"/>
      <w:marRight w:val="0"/>
      <w:marTop w:val="0"/>
      <w:marBottom w:val="0"/>
      <w:divBdr>
        <w:top w:val="none" w:sz="0" w:space="0" w:color="auto"/>
        <w:left w:val="none" w:sz="0" w:space="0" w:color="auto"/>
        <w:bottom w:val="none" w:sz="0" w:space="0" w:color="auto"/>
        <w:right w:val="none" w:sz="0" w:space="0" w:color="auto"/>
      </w:divBdr>
    </w:div>
    <w:div w:id="702285643">
      <w:bodyDiv w:val="1"/>
      <w:marLeft w:val="0"/>
      <w:marRight w:val="0"/>
      <w:marTop w:val="0"/>
      <w:marBottom w:val="0"/>
      <w:divBdr>
        <w:top w:val="none" w:sz="0" w:space="0" w:color="auto"/>
        <w:left w:val="none" w:sz="0" w:space="0" w:color="auto"/>
        <w:bottom w:val="none" w:sz="0" w:space="0" w:color="auto"/>
        <w:right w:val="none" w:sz="0" w:space="0" w:color="auto"/>
      </w:divBdr>
    </w:div>
    <w:div w:id="704020313">
      <w:bodyDiv w:val="1"/>
      <w:marLeft w:val="0"/>
      <w:marRight w:val="0"/>
      <w:marTop w:val="0"/>
      <w:marBottom w:val="0"/>
      <w:divBdr>
        <w:top w:val="none" w:sz="0" w:space="0" w:color="auto"/>
        <w:left w:val="none" w:sz="0" w:space="0" w:color="auto"/>
        <w:bottom w:val="none" w:sz="0" w:space="0" w:color="auto"/>
        <w:right w:val="none" w:sz="0" w:space="0" w:color="auto"/>
      </w:divBdr>
    </w:div>
    <w:div w:id="756635028">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 w:id="1868329082">
      <w:bodyDiv w:val="1"/>
      <w:marLeft w:val="0"/>
      <w:marRight w:val="0"/>
      <w:marTop w:val="0"/>
      <w:marBottom w:val="0"/>
      <w:divBdr>
        <w:top w:val="none" w:sz="0" w:space="0" w:color="auto"/>
        <w:left w:val="none" w:sz="0" w:space="0" w:color="auto"/>
        <w:bottom w:val="none" w:sz="0" w:space="0" w:color="auto"/>
        <w:right w:val="none" w:sz="0" w:space="0" w:color="auto"/>
      </w:divBdr>
    </w:div>
    <w:div w:id="21334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10445</Words>
  <Characters>59539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Елена Алексеевна Мыльникова</cp:lastModifiedBy>
  <cp:revision>5</cp:revision>
  <cp:lastPrinted>2025-12-24T12:14:00Z</cp:lastPrinted>
  <dcterms:created xsi:type="dcterms:W3CDTF">2025-12-22T06:20:00Z</dcterms:created>
  <dcterms:modified xsi:type="dcterms:W3CDTF">2025-12-24T12:19:00Z</dcterms:modified>
</cp:coreProperties>
</file>